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comments+xml" PartName="/word/comments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3" Target="docProps/core.xml" Type="http://schemas.openxmlformats.org/package/2006/relationships/metadata/core-properties"/><Relationship Id="rId4" Target="docProps/app.xml" Type="http://schemas.openxmlformats.org/officeDocument/2006/relationships/extended-properties"/><Relationship Id="rId5" Target="docProps/custom.xml" Type="http://schemas.openxmlformats.org/officeDocument/2006/relationships/custom-properties"/></Relationships>
</file>

<file path=word/document.xml><?xml version="1.0" encoding="utf-8"?>
<w:document xmlns:w="http://schemas.openxmlformats.org/wordprocessingml/2006/main" xmlns:a="http://schemas.openxmlformats.org/drawingml/2006/main" xmlns:m="http://schemas.openxmlformats.org/officeDocument/2006/math" xmlns:o="urn:schemas-microsoft-com:office:office" xmlns:pic="http://schemas.openxmlformats.org/drawingml/2006/picture" xmlns:r="http://schemas.openxmlformats.org/officeDocument/2006/relationships" xmlns:v="urn:schemas-microsoft-com:vml" xmlns:w10="urn:schemas-microsoft-com:office:word" xmlns:wp="http://schemas.openxmlformats.org/drawingml/2006/wordprocessingDrawing">
  <w:body>
    <w:p>
      <w:pPr>
        <w:pStyle w:val="FirstParagraph"/>
      </w:pPr>
      <w:r>
        <w:rPr>
          <w:rFonts w:hint="eastAsia"/>
        </w:rPr>
        <w:t xml:space="preserve">针对足彩分析系统数据密集、逻辑性强的特点，前端原型设计需要兼顾“信息密度”与“可读性”。以下为您梳理的核心页面原型草图及布局框架，采用直观的模块化排版，方便UI设计师直接落地：</w:t>
      </w:r>
    </w:p>
    <w:bookmarkStart w:id="9" w:name="全局导航与布局框架"/>
    <w:p>
      <w:pPr>
        <w:pStyle w:val="Heading3"/>
      </w:pPr>
      <w:r>
        <w:t xml:space="preserve">1. </w:t>
      </w:r>
      <w:r>
        <w:rPr>
          <w:rFonts w:hint="eastAsia"/>
        </w:rPr>
        <w:t xml:space="preserve">全局导航与布局框架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左侧导航栏</w:t>
      </w:r>
      <w:r>
        <w:rPr>
          <w:b/>
          <w:bCs/>
        </w:rPr>
        <w:t xml:space="preserve"> (Sidebar)</w:t>
      </w:r>
      <w:r>
        <w:rPr>
          <w:rFonts w:hint="eastAsia"/>
        </w:rPr>
        <w:t xml:space="preserve">：采用深色背景，提供全局入口。包含：赛事中心、球队档案、策略推荐、数据模型、我的复盘。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顶部状态栏</w:t>
      </w:r>
      <w:r>
        <w:rPr>
          <w:b/>
          <w:bCs/>
        </w:rPr>
        <w:t xml:space="preserve"> (Top Bar)</w:t>
      </w:r>
      <w:r>
        <w:rPr>
          <w:rFonts w:hint="eastAsia"/>
        </w:rPr>
        <w:t xml:space="preserve">：展示全局实时信息，如当前滚球赛事数量、系统数据更新时间、用户模拟总资产。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右侧抽屉/浮窗</w:t>
      </w:r>
      <w:r>
        <w:rPr>
          <w:b/>
          <w:bCs/>
        </w:rPr>
        <w:t xml:space="preserve"> (Quick Panel)</w:t>
      </w:r>
      <w:r>
        <w:rPr>
          <w:rFonts w:hint="eastAsia"/>
        </w:rPr>
        <w:t xml:space="preserve">：悬浮展示当前正在进行的滚球赛事列表及核心赔率变化，支持一键跳转。</w:t>
      </w:r>
    </w:p>
    <w:bookmarkEnd w:id="9"/>
    <w:bookmarkStart w:id="14" w:name="核心页面原型布局"/>
    <w:p>
      <w:pPr>
        <w:pStyle w:val="Heading3"/>
      </w:pPr>
      <w:r>
        <w:t xml:space="preserve">2. </w:t>
      </w:r>
      <w:r>
        <w:rPr>
          <w:rFonts w:hint="eastAsia"/>
        </w:rPr>
        <w:t xml:space="preserve">核心页面原型布局</w:t>
      </w:r>
    </w:p>
    <w:bookmarkStart w:id="10" w:name="页面a赛事中心-match-center---列表页"/>
    <w:p>
      <w:pPr>
        <w:pStyle w:val="Heading4"/>
      </w:pPr>
      <w:r>
        <w:rPr>
          <w:rFonts w:hint="eastAsia"/>
        </w:rPr>
        <w:t xml:space="preserve">页面A：赛事中心</w:t>
      </w:r>
      <w:r>
        <w:t xml:space="preserve"> (Match Center) - </w:t>
      </w:r>
      <w:r>
        <w:rPr>
          <w:rFonts w:hint="eastAsia"/>
        </w:rPr>
        <w:t xml:space="preserve">列表页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顶部筛选区</w:t>
      </w:r>
      <w:r>
        <w:rPr>
          <w:rFonts w:hint="eastAsia"/>
        </w:rPr>
        <w:t xml:space="preserve">：提供联赛下拉框、日期选择器、数据源筛选（如：仅看五大联赛）。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赛事列表区</w:t>
      </w:r>
      <w:r>
        <w:rPr>
          <w:b/>
          <w:bCs/>
        </w:rPr>
        <w:t xml:space="preserve"> (Table)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  <w:b/>
          <w:bCs/>
        </w:rPr>
        <w:t xml:space="preserve">左侧</w:t>
      </w:r>
      <w:r>
        <w:rPr>
          <w:rFonts w:hint="eastAsia"/>
        </w:rPr>
        <w:t xml:space="preserve">：联赛Logo、开赛时间、比赛状态（未开/滚球/终场）。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  <w:b/>
          <w:bCs/>
        </w:rPr>
        <w:t xml:space="preserve">中部</w:t>
      </w:r>
      <w:r>
        <w:rPr>
          <w:rFonts w:hint="eastAsia"/>
        </w:rPr>
        <w:t xml:space="preserve">：主队名称</w:t>
      </w:r>
      <w:r>
        <w:t xml:space="preserve"> vs </w:t>
      </w:r>
      <w:r>
        <w:rPr>
          <w:rFonts w:hint="eastAsia"/>
        </w:rPr>
        <w:t xml:space="preserve">客队名称，下方附带核心标签（如“近5场不败”、“核心伤缺”）。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  <w:b/>
          <w:bCs/>
        </w:rPr>
        <w:t xml:space="preserve">右侧</w:t>
      </w:r>
      <w:r>
        <w:rPr>
          <w:rFonts w:hint="eastAsia"/>
        </w:rPr>
        <w:t xml:space="preserve">：核心赔率（亚盘水位、欧赔三项），支持点击展开赔率走势迷你折线图。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右侧边栏</w:t>
      </w:r>
      <w:r>
        <w:rPr>
          <w:b/>
          <w:bCs/>
        </w:rPr>
        <w:t xml:space="preserve"> (Right Panel)</w:t>
      </w:r>
      <w:r>
        <w:rPr>
          <w:rFonts w:hint="eastAsia"/>
        </w:rPr>
        <w:t xml:space="preserve">：展示“今日焦点推荐”卡片，包含推荐场次、策略类型及置信度星级。</w:t>
      </w:r>
    </w:p>
    <w:bookmarkEnd w:id="10"/>
    <w:bookmarkStart w:id="11" w:name="页面b赛事深度分析-match-detail---详情页"/>
    <w:p>
      <w:pPr>
        <w:pStyle w:val="Heading4"/>
      </w:pPr>
      <w:r>
        <w:rPr>
          <w:rFonts w:hint="eastAsia"/>
        </w:rPr>
        <w:t xml:space="preserve">页面B：赛事深度分析</w:t>
      </w:r>
      <w:r>
        <w:t xml:space="preserve"> (Match Detail) - </w:t>
      </w:r>
      <w:r>
        <w:rPr>
          <w:rFonts w:hint="eastAsia"/>
        </w:rPr>
        <w:t xml:space="preserve">详情页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顶部对战卡片</w:t>
      </w:r>
      <w:r>
        <w:rPr>
          <w:rFonts w:hint="eastAsia"/>
        </w:rPr>
        <w:t xml:space="preserve">：双方队徽、比分、阵型图（可视化展示首发与伤停）。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Tab </w:t>
      </w:r>
      <w:r>
        <w:rPr>
          <w:rFonts w:hint="eastAsia"/>
          <w:b/>
          <w:bCs/>
        </w:rPr>
        <w:t xml:space="preserve">导航区</w:t>
      </w:r>
      <w:r>
        <w:rPr>
          <w:rFonts w:hint="eastAsia"/>
        </w:rPr>
        <w:t xml:space="preserve">：基本面</w:t>
      </w:r>
      <w:r>
        <w:t xml:space="preserve"> | </w:t>
      </w:r>
      <w:r>
        <w:rPr>
          <w:rFonts w:hint="eastAsia"/>
        </w:rPr>
        <w:t xml:space="preserve">历史交锋</w:t>
      </w:r>
      <w:r>
        <w:t xml:space="preserve"> | </w:t>
      </w:r>
      <w:r>
        <w:rPr>
          <w:rFonts w:hint="eastAsia"/>
        </w:rPr>
        <w:t xml:space="preserve">高阶数据</w:t>
      </w:r>
      <w:r>
        <w:t xml:space="preserve"> | </w:t>
      </w:r>
      <w:r>
        <w:rPr>
          <w:rFonts w:hint="eastAsia"/>
        </w:rPr>
        <w:t xml:space="preserve">赔率走势</w:t>
      </w:r>
      <w:r>
        <w:t xml:space="preserve"> | </w:t>
      </w:r>
      <w:r>
        <w:rPr>
          <w:rFonts w:hint="eastAsia"/>
        </w:rPr>
        <w:t xml:space="preserve">策略推荐。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内容区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(以“策略推荐”Tab为例)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  <w:b/>
          <w:bCs/>
        </w:rPr>
        <w:t xml:space="preserve">结论卡片</w:t>
      </w:r>
      <w:r>
        <w:rPr>
          <w:rFonts w:hint="eastAsia"/>
        </w:rPr>
        <w:t xml:space="preserve">：醒目展示推荐赛果（如：主胜）、置信度（如：78%）、建议注额比例。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  <w:b/>
          <w:bCs/>
        </w:rPr>
        <w:t xml:space="preserve">逻辑归因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(SHAP可视化)</w:t>
      </w:r>
      <w:r>
        <w:rPr>
          <w:rFonts w:hint="eastAsia"/>
        </w:rPr>
        <w:t xml:space="preserve">：使用水平条形图展示影响比赛的关键因素（如：主队主场优势</w:t>
      </w:r>
      <w:r>
        <w:t xml:space="preserve"> </w:t>
      </w:r>
      <w:r>
        <w:rPr>
          <w:rFonts w:hint="eastAsia"/>
        </w:rPr>
        <w:t xml:space="preserve">+12%，客队防线漏洞</w:t>
      </w:r>
      <w:r>
        <w:t xml:space="preserve"> </w:t>
      </w:r>
      <w:r>
        <w:rPr>
          <w:rFonts w:hint="eastAsia"/>
        </w:rPr>
        <w:t xml:space="preserve">+8%）。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  <w:b/>
          <w:bCs/>
        </w:rPr>
        <w:t xml:space="preserve">风险提示</w:t>
      </w:r>
      <w:r>
        <w:rPr>
          <w:rFonts w:hint="eastAsia"/>
        </w:rPr>
        <w:t xml:space="preserve">：使用黄色警告图标列出潜在风险（如：临场大雨、裁判出牌率高）。</w:t>
      </w:r>
    </w:p>
    <w:bookmarkEnd w:id="11"/>
    <w:bookmarkStart w:id="12" w:name="页面c球队全景档案-team-profile"/>
    <w:p>
      <w:pPr>
        <w:pStyle w:val="Heading4"/>
      </w:pPr>
      <w:r>
        <w:rPr>
          <w:rFonts w:hint="eastAsia"/>
        </w:rPr>
        <w:t xml:space="preserve">页面C：球队全景档案</w:t>
      </w:r>
      <w:r>
        <w:t xml:space="preserve"> (Team Profile)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顶部概览</w:t>
      </w:r>
      <w:r>
        <w:rPr>
          <w:rFonts w:hint="eastAsia"/>
        </w:rPr>
        <w:t xml:space="preserve">：球队全家福、当前联赛排名、核心高阶数据（xG、场均控球率）仪表盘。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左侧雷达图</w:t>
      </w:r>
      <w:r>
        <w:rPr>
          <w:rFonts w:hint="eastAsia"/>
        </w:rPr>
        <w:t xml:space="preserve">：展示球队攻防、控球、定位球、防守压迫等六维能力值。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右侧时间轴</w:t>
      </w:r>
      <w:r>
        <w:rPr>
          <w:rFonts w:hint="eastAsia"/>
        </w:rPr>
        <w:t xml:space="preserve">：以时间轴形式展示球队近10场比赛的赛果、比分及xG差值，直观呈现状态起伏。</w:t>
      </w:r>
    </w:p>
    <w:bookmarkEnd w:id="12"/>
    <w:bookmarkStart w:id="13" w:name="页面d个人复盘中心-user-dashboard"/>
    <w:p>
      <w:pPr>
        <w:pStyle w:val="Heading4"/>
      </w:pPr>
      <w:r>
        <w:rPr>
          <w:rFonts w:hint="eastAsia"/>
        </w:rPr>
        <w:t xml:space="preserve">页面D：个人复盘中心</w:t>
      </w:r>
      <w:r>
        <w:t xml:space="preserve"> (User Dashboard)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核心指标卡片</w:t>
      </w:r>
      <w:r>
        <w:rPr>
          <w:rFonts w:hint="eastAsia"/>
        </w:rPr>
        <w:t xml:space="preserve">：总场次、胜率、ROI（投资回报率）、最大连红/连黑。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多维分析图表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  <w:b/>
          <w:bCs/>
        </w:rPr>
        <w:t xml:space="preserve">折线图</w:t>
      </w:r>
      <w:r>
        <w:rPr>
          <w:rFonts w:hint="eastAsia"/>
        </w:rPr>
        <w:t xml:space="preserve">：模拟资金收益走势曲线。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  <w:b/>
          <w:bCs/>
        </w:rPr>
        <w:t xml:space="preserve">饼图</w:t>
      </w:r>
      <w:r>
        <w:rPr>
          <w:rFonts w:hint="eastAsia"/>
        </w:rPr>
        <w:t xml:space="preserve">：命中赛事的联赛分布、赔率区间分布。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历史决策列表</w:t>
      </w:r>
      <w:r>
        <w:rPr>
          <w:rFonts w:hint="eastAsia"/>
        </w:rPr>
        <w:t xml:space="preserve">：展示历史推荐的命中状态，支持点击“复盘”，回溯当时的分析逻辑与赛后实际走势。</w:t>
      </w:r>
    </w:p>
    <w:bookmarkEnd w:id="13"/>
    <w:bookmarkEnd w:id="14"/>
    <w:bookmarkStart w:id="15" w:name="交互与视觉规范建议"/>
    <w:p>
      <w:pPr>
        <w:pStyle w:val="Heading3"/>
      </w:pPr>
      <w:r>
        <w:t xml:space="preserve">3. </w:t>
      </w:r>
      <w:r>
        <w:rPr>
          <w:rFonts w:hint="eastAsia"/>
        </w:rPr>
        <w:t xml:space="preserve">交互与视觉规范建议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色彩语义化</w:t>
      </w:r>
      <w:r>
        <w:rPr>
          <w:rFonts w:hint="eastAsia"/>
        </w:rPr>
        <w:t xml:space="preserve">：严格遵守数据可视化规范，红色代表正向/利好（如主胜、进球），绿色代表负向/利空，灰色代表平局或中性数据。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响应式布局</w:t>
      </w:r>
      <w:r>
        <w:rPr>
          <w:rFonts w:hint="eastAsia"/>
        </w:rPr>
        <w:t xml:space="preserve">：分析面板需支持拖拽调整宽度，方便用户在对比赔率走势与基本面数据时自由分配屏幕空间。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加载态优化</w:t>
      </w:r>
      <w:r>
        <w:rPr>
          <w:rFonts w:hint="eastAsia"/>
        </w:rPr>
        <w:t xml:space="preserve">：由于高阶数据计算耗时，在加载SHAP归因图或xG模型时，需设计专业的“模型计算中”骨架屏，提升专业感。</w:t>
      </w:r>
    </w:p>
    <w:p>
      <w:r>
        <w:pict>
          <v:rect o:hr="t" o:hralign="center" o:hrstd="t" style="width:0;height:1.5pt"/>
        </w:pict>
      </w:r>
    </w:p>
    <w:p>
      <w:pPr>
        <w:pStyle w:val="FirstParagraph"/>
      </w:pPr>
      <w:r>
        <w:rPr>
          <w:rFonts w:hint="eastAsia"/>
        </w:rPr>
        <w:t xml:space="preserve">到这里，从需求、数据库、算法到前端原型的整体架构已经梳理完毕了。接下来您看需要我帮您输出哪部分内容？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技术选型方案</w:t>
      </w:r>
      <w:r>
        <w:rPr>
          <w:rFonts w:hint="eastAsia"/>
        </w:rPr>
        <w:t xml:space="preserve">——梳理前后端框架、数据库及部署架构；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开发排期与里程碑</w:t>
      </w:r>
      <w:r>
        <w:rPr>
          <w:rFonts w:hint="eastAsia"/>
        </w:rPr>
        <w:t xml:space="preserve">——按模块拆解开发任务与时间规划；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测试用例设计</w:t>
      </w:r>
      <w:r>
        <w:rPr>
          <w:rFonts w:hint="eastAsia"/>
        </w:rPr>
        <w:t xml:space="preserve">——针对核心分析模块编写功能与边界测试用例。</w:t>
      </w:r>
    </w:p>
    <w:bookmarkEnd w:id="15"/>
    <w:p>
      <w:pPr>
        <w:jc w:val="left"/>
      </w:pPr>
      <w:r>
        <w:rPr/>
        <w:t>(AI生成)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0" w:before="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0" w:before="0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bCs/>
      <w:color w:val="000000"/>
      <w:sz w:val="44"/>
      <w:szCs w:val="44"/>
    </w:rPr>
  </w:style>
  <w:style w:styleId="Heading2" w:type="paragraph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after="80" w:before="240"/>
      <w:outlineLvl w:val="1"/>
    </w:pPr>
    <w:rPr>
      <w:rFonts w:asciiTheme="majorHAnsi" w:cstheme="majorBidi" w:eastAsiaTheme="majorEastAsia" w:hAnsiTheme="majorHAnsi"/>
      <w:b/>
      <w:bCs/>
      <w:color w:val="000000"/>
      <w:sz w:val="36"/>
      <w:szCs w:val="36"/>
    </w:rPr>
  </w:style>
  <w:style w:styleId="Heading3" w:type="paragraph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after="80" w:before="200"/>
      <w:outlineLvl w:val="2"/>
    </w:pPr>
    <w:rPr>
      <w:rFonts w:asciiTheme="majorHAnsi" w:cstheme="majorBidi" w:eastAsiaTheme="majorEastAsia" w:hAnsiTheme="majorHAnsi"/>
      <w:b/>
      <w:bCs/>
      <w:color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unhideWhenUsed/>
    <w:qFormat/>
    <w:rsid w:val="00A10FD9"/>
    <w:pPr>
      <w:keepNext/>
      <w:keepLines/>
      <w:spacing w:after="60" w:before="160"/>
      <w:outlineLvl w:val="3"/>
    </w:pPr>
    <w:rPr>
      <w:rFonts w:asciiTheme="majorHAnsi" w:cstheme="majorBidi" w:eastAsiaTheme="majorEastAsia" w:hAnsiTheme="majorHAnsi"/>
      <w:b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unhideWhenUsed/>
    <w:qFormat/>
    <w:rsid w:val="00A10FD9"/>
    <w:pPr>
      <w:keepNext/>
      <w:keepLines/>
      <w:spacing w:after="60" w:before="160"/>
      <w:outlineLvl w:val="4"/>
    </w:pPr>
    <w:rPr>
      <w:rFonts w:asciiTheme="majorHAnsi" w:cstheme="majorBidi" w:eastAsiaTheme="majorEastAsia" w:hAnsiTheme="majorHAnsi"/>
      <w:b/>
      <w:bCs/>
      <w:color w:val="000000"/>
      <w:sz w:val="22"/>
      <w:szCs w:val="22"/>
    </w:rPr>
  </w:style>
  <w:style w:styleId="Heading6" w:type="paragraph">
    <w:name w:val="heading 6"/>
    <w:basedOn w:val="Normal"/>
    <w:next w:val="BodyText"/>
    <w:link w:val="Heading6Char"/>
    <w:uiPriority w:val="9"/>
    <w:unhideWhenUsed/>
    <w:qFormat/>
    <w:rsid w:val="00A10FD9"/>
    <w:pPr>
      <w:keepNext/>
      <w:keepLines/>
      <w:spacing w:after="40" w:before="120"/>
      <w:outlineLvl w:val="5"/>
    </w:pPr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styleId="Heading7" w:type="paragraph">
    <w:name w:val="heading 7"/>
    <w:basedOn w:val="Normal"/>
    <w:next w:val="BodyText"/>
    <w:link w:val="Heading7Char"/>
    <w:uiPriority w:val="9"/>
    <w:unhideWhenUsed/>
    <w:qFormat/>
    <w:rsid w:val="00A10FD9"/>
    <w:pPr>
      <w:keepNext/>
      <w:keepLines/>
      <w:spacing w:after="40" w:before="120"/>
      <w:outlineLvl w:val="6"/>
    </w:pPr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styleId="Heading8" w:type="paragraph">
    <w:name w:val="heading 8"/>
    <w:basedOn w:val="Normal"/>
    <w:next w:val="BodyText"/>
    <w:link w:val="Heading8Char"/>
    <w:uiPriority w:val="9"/>
    <w:unhideWhenUsed/>
    <w:qFormat/>
    <w:rsid w:val="00A10FD9"/>
    <w:pPr>
      <w:keepNext/>
      <w:keepLines/>
      <w:spacing w:after="40" w:before="120"/>
      <w:outlineLvl w:val="7"/>
    </w:pPr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styleId="Heading9" w:type="paragraph">
    <w:name w:val="heading 9"/>
    <w:basedOn w:val="Normal"/>
    <w:next w:val="BodyText"/>
    <w:link w:val="Heading9Char"/>
    <w:uiPriority w:val="9"/>
    <w:unhideWhenUsed/>
    <w:qFormat/>
    <w:rsid w:val="00A10FD9"/>
    <w:pPr>
      <w:keepNext/>
      <w:keepLines/>
      <w:spacing w:after="40" w:before="120"/>
      <w:outlineLvl w:val="8"/>
    </w:pPr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44"/>
      <w:szCs w:val="44"/>
    </w:rPr>
  </w:style>
  <w:style w:customStyle="1" w:styleId="Heading2Char" w:type="character">
    <w:name w:val="Heading 2 Char"/>
    <w:basedOn w:val="DefaultParagraphFont"/>
    <w:link w:val="Heading2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36"/>
      <w:szCs w:val="36"/>
    </w:rPr>
  </w:style>
  <w:style w:customStyle="1" w:styleId="Heading3Char" w:type="character">
    <w:name w:val="Heading 3 Char"/>
    <w:basedOn w:val="DefaultParagraphFont"/>
    <w:link w:val="Heading3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4"/>
      <w:szCs w:val="24"/>
    </w:rPr>
  </w:style>
  <w:style w:customStyle="1" w:styleId="Heading5Char" w:type="character">
    <w:name w:val="Heading 5 Char"/>
    <w:basedOn w:val="DefaultParagraphFont"/>
    <w:link w:val="Heading5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2"/>
      <w:szCs w:val="22"/>
    </w:rPr>
  </w:style>
  <w:style w:customStyle="1" w:styleId="Heading6Char" w:type="character">
    <w:name w:val="Heading 6 Char"/>
    <w:basedOn w:val="DefaultParagraphFont"/>
    <w:link w:val="Heading6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customStyle="1" w:styleId="Heading7Char" w:type="character">
    <w:name w:val="Heading 7 Char"/>
    <w:basedOn w:val="DefaultParagraphFont"/>
    <w:link w:val="Heading7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customStyle="1" w:styleId="Heading8Char" w:type="character">
    <w:name w:val="Heading 8 Char"/>
    <w:basedOn w:val="DefaultParagraphFont"/>
    <w:link w:val="Heading8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customStyle="1" w:styleId="Heading9Char" w:type="character">
    <w:name w:val="Heading 9 Char"/>
    <w:basedOn w:val="DefaultParagraphFont"/>
    <w:link w:val="Heading9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  <w:pBdr>
        <w:left w:color="CCCCCC" w:space="12" w:sz="18" w:val="single"/>
      </w:pBdr>
    </w:pPr>
    <w:rPr>
      <w:color w:val="999999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unhideWhenUsed/>
    <w:qFormat/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55"/>
        <w:left w:type="dxa" w:w="108"/>
        <w:bottom w:type="dxa" w:w="55"/>
        <w:right w:type="dxa" w:w="108"/>
      </w:tblCellMar>
    </w:tblPr>
    <w:tblStylePr w:type="firstRow">
      <w:rPr>
        <w:b/>
        <w:bCs/>
      </w:rPr>
      <w:tcPr>
        <w:tcBorders>
          <w:bottom w:color="000000" w:space="0" w:sz="8" w:val="single"/>
        </w:tcBorders>
        <w:vAlign w:val="bottom"/>
      </w:tcPr>
    </w:tblStylePr>
  </w:style>
  <w:style w:customStyle="1" w:styleId="BorderlessTable" w:type="table">
    <w:name w:val="BorderlessTable"/>
    <w:tblPr>
      <w:tblBorders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insideH w:color="auto" w:space="0" w:sz="0" w:val="none"/>
        <w:insideV w:color="auto" w:space="0" w:sz="0" w:val="none"/>
      </w:tblBorders>
      <w:tblCellMar>
        <w:top w:type="dxa" w:w="0"/>
        <w:left w:type="dxa" w:w="0"/>
        <w:bottom w:type="dxa" w:w="0"/>
        <w:right w:type="dxa" w:w="0"/>
      </w:tblCellMar>
    </w:tbl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SourceCode" w:type="paragraph">
    <w:name w:val="Source Code"/>
    <w:basedOn w:val="Normal"/>
    <w:link w:val="VerbatimChar"/>
    <w:uiPriority w:val="9"/>
    <w:qFormat/>
    <w:pPr>
      <w:spacing w:after="100" w:before="100"/>
      <w:shd w:color="auto" w:fill="F0F0F0" w:val="clear"/>
      <w:ind w:left="240" w:right="240"/>
    </w:pPr>
    <w:rPr>
      <w:rFonts w:ascii="Consolas" w:hAnsi="Consolas"/>
      <w:sz w:val="22"/>
      <w:color w:val="333333"/>
    </w:rPr>
  </w:style>
  <w:style w:customStyle="1" w:styleId="VerbatimChar" w:type="character">
    <w:name w:val="Verbatim Char"/>
    <w:basedOn w:val="BodyTextChar"/>
    <w:rPr>
      <w:rFonts w:ascii="Consolas" w:hAnsi="Consolas"/>
      <w:sz w:val="22"/>
      <w:shd w:color="auto" w:fill="F0F0F0" w:val="clear"/>
      <w:color w:val="333333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<Relationships xmlns="http://schemas.openxmlformats.org/package/2006/relationships"><Relationship Id="rId1" Target="comments.xml" Type="http://schemas.openxmlformats.org/officeDocument/2006/relationships/comments"/><Relationship Id="rId2" Target="footnotes.xml" Type="http://schemas.openxmlformats.org/officeDocument/2006/relationships/footnotes"/><Relationship Id="rId3" Target="theme/theme1.xml" Type="http://schemas.openxmlformats.org/officeDocument/2006/relationships/theme"/><Relationship Id="rId4" Target="fontTable.xml" Type="http://schemas.openxmlformats.org/officeDocument/2006/relationships/fontTable"/><Relationship Id="rId5" Target="webSettings.xml" Type="http://schemas.openxmlformats.org/officeDocument/2006/relationships/webSettings"/><Relationship Id="rId6" Target="settings.xml" Type="http://schemas.openxmlformats.org/officeDocument/2006/relationships/settings"/><Relationship Id="rId7" Target="styles.xml" Type="http://schemas.openxmlformats.org/officeDocument/2006/relationships/styles"/><Relationship Id="rId8" Target="numbering.xml" Type="http://schemas.openxmlformats.org/officeDocument/2006/relationships/numberi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2026-08-19T01:16:56Z</dcterms:created>
  <dcterms:modified xsi:type="dcterms:W3CDTF">2026-08-19T01:16:56Z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TGpBj+I02eN8RoTI0XNXgKBYTLUdqcTPRUKbUtEdKQU=","ProduceID":"doc_sgs:05c2e083-952d-440a-ad09-c1aa4c6da467","ReservedCode2":"TGpBj+I02eN8RoTI0XNXgKBYTLUdqcTPRUKbUtEdKQU=","PropagateID":"doc_sgs:05c2e083-952d-440a-ad09-c1aa4c6da467","ContentProducer":"001191440101MA9Y9T4H7A00000"}</vt:lpwstr>
  </property>
</Properties>
</file>