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Microsoft YaHei"/>
          <w:b/>
          <w:color w:val="A66C00"/>
          <w:sz w:val="21"/>
        </w:rPr>
        <w:t>RESEARCH METHODS REPORT · 研究方法报告</w:t>
      </w:r>
    </w:p>
    <w:p>
      <w:pPr>
        <w:spacing w:after="160"/>
        <w:jc w:val="center"/>
      </w:pPr>
      <w:r>
        <w:rPr>
          <w:rFonts w:ascii="Calibri" w:hAnsi="Calibri" w:eastAsia="Microsoft YaHei"/>
          <w:b/>
          <w:color w:val="0B2545"/>
          <w:sz w:val="58"/>
        </w:rPr>
        <w:t>Agent 工程为什么必须重视受控实验</w:t>
      </w:r>
    </w:p>
    <w:p>
      <w:pPr>
        <w:spacing w:after="180"/>
        <w:jc w:val="center"/>
      </w:pPr>
      <w:r>
        <w:rPr>
          <w:rFonts w:ascii="Calibri" w:hAnsi="Calibri" w:eastAsia="Microsoft YaHei"/>
          <w:b/>
          <w:color w:val="1F4D78"/>
          <w:sz w:val="40"/>
        </w:rPr>
        <w:t>Why Agent Engineering Must Take Controlled Experiments Seriously</w:t>
      </w:r>
    </w:p>
    <w:p>
      <w:pPr>
        <w:spacing w:after="560"/>
        <w:jc w:val="center"/>
      </w:pPr>
      <w:r>
        <w:rPr>
          <w:rFonts w:ascii="Calibri" w:hAnsi="Calibri" w:eastAsia="Microsoft YaHei"/>
          <w:i/>
          <w:color w:val="5B6573"/>
          <w:sz w:val="27"/>
        </w:rPr>
        <w:t>From benchmark progress to a cumulative science of runtime mechanisms</w:t>
      </w:r>
    </w:p>
    <w:p>
      <w:pPr>
        <w:spacing w:before="160" w:after="480" w:line="312" w:lineRule="auto"/>
        <w:ind w:left="936" w:right="936"/>
        <w:jc w:val="center"/>
        <w:shd w:val="clear" w:fill="EEF4FA"/>
        <w:pBdr>
          <w:left w:val="single" w:sz="18" w:space="12" w:color="0A6E75"/>
        </w:pBdr>
      </w:pPr>
      <w:r>
        <w:rPr>
          <w:rFonts w:ascii="Calibri" w:hAnsi="Calibri" w:eastAsia="Microsoft YaHei"/>
          <w:b/>
          <w:color w:val="0A6E75"/>
          <w:sz w:val="26"/>
        </w:rPr>
        <w:t>模型升级移动失配边界；受控实验识别边界上的治理规律。</w:t>
        <w:br/>
      </w:r>
      <w:r>
        <w:rPr>
          <w:rFonts w:ascii="Calibri" w:hAnsi="Calibri" w:eastAsia="Microsoft YaHei"/>
          <w:i/>
          <w:color w:val="1F4D78"/>
          <w:sz w:val="23"/>
        </w:rPr>
        <w:t>Model upgrades move mismatch boundaries; controlled experiments identify the governance laws at those boundaries.</w:t>
      </w:r>
    </w:p>
    <w:p>
      <w:pPr>
        <w:spacing w:before="1000" w:after="100"/>
        <w:jc w:val="center"/>
      </w:pPr>
      <w:r>
        <w:rPr>
          <w:rFonts w:ascii="Calibri" w:hAnsi="Calibri" w:eastAsia="Microsoft YaHei"/>
          <w:b/>
          <w:color w:val="0B2545"/>
          <w:sz w:val="21"/>
        </w:rPr>
        <w:t>Working Draft v0.1 · 2026-08-12</w:t>
      </w:r>
    </w:p>
    <w:p>
      <w:pPr>
        <w:jc w:val="center"/>
      </w:pPr>
      <w:r>
        <w:rPr>
          <w:rFonts w:ascii="Calibri" w:hAnsi="Calibri" w:eastAsia="Microsoft YaHei"/>
          <w:color w:val="5B6573"/>
          <w:sz w:val="19"/>
        </w:rPr>
        <w:t>against-llm-mediocrity</w:t>
      </w:r>
    </w:p>
    <w:p>
      <w:r>
        <w:br w:type="page"/>
      </w:r>
    </w:p>
    <w:p>
      <w:pPr>
        <w:pStyle w:val="Heading1"/>
        <w:spacing w:before="0"/>
      </w:pPr>
      <w:r>
        <w:t>阅读指南 · Reading Guide</w:t>
      </w:r>
    </w:p>
    <w:p>
      <w:r>
        <w:rPr>
          <w:rFonts w:ascii="Calibri" w:hAnsi="Calibri" w:eastAsia="Microsoft YaHei"/>
          <w:b w:val="0"/>
          <w:color w:val="111111"/>
          <w:sz w:val="22"/>
        </w:rPr>
        <w:t>本报告先给出中文全文，再给出英文全文。两种语言采用相同的论证结构、六类实验合同和参考文献集合。</w:t>
      </w:r>
    </w:p>
    <w:p>
      <w:r>
        <w:rPr>
          <w:rFonts w:ascii="Calibri" w:hAnsi="Calibri" w:eastAsia="Microsoft YaHei"/>
          <w:b w:val="0"/>
          <w:color w:val="111111"/>
          <w:sz w:val="22"/>
        </w:rPr>
        <w:t>The Chinese text appears first, followed by the English text. Both editions use the same argument structure, six-mismatch experiment contracts, and source set.</w:t>
      </w:r>
    </w:p>
    <w:tbl>
      <w:tblPr>
        <w:tblW w:type="dxa" w:w="9360"/>
        <w:jc w:val="left"/>
        <w:tblLayout w:type="fixed"/>
        <w:tblLook w:firstColumn="1" w:firstRow="1" w:lastColumn="0" w:lastRow="0" w:noHBand="0" w:noVBand="1" w:val="04A0"/>
        <w:tblInd w:w="120" w:type="dxa"/>
        <w:tblBorders>
          <w:top w:val="single" w:sz="4" w:color="B8C2CE" w:space="0"/>
          <w:left w:val="single" w:sz="4" w:color="B8C2CE" w:space="0"/>
          <w:bottom w:val="single" w:sz="4" w:color="B8C2CE" w:space="0"/>
          <w:right w:val="single" w:sz="4" w:color="B8C2CE" w:space="0"/>
          <w:insideH w:val="single" w:sz="4" w:color="B8C2CE" w:space="0"/>
          <w:insideV w:val="single" w:sz="4" w:color="B8C2CE" w:space="0"/>
        </w:tblBorders>
      </w:tblPr>
      <w:tblGrid>
        <w:gridCol w:w="1800"/>
        <w:gridCol w:w="3300"/>
        <w:gridCol w:w="4260"/>
      </w:tblGrid>
      <w:tr>
        <w:trPr>
          <w:tblHeader w:val="true"/>
        </w:trPr>
        <w:tc>
          <w:tcPr>
            <w:tcW w:type="dxa" w:w="18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8"/>
              </w:rPr>
              <w:t>部分 / Part</w:t>
            </w:r>
          </w:p>
        </w:tc>
        <w:tc>
          <w:tcPr>
            <w:tcW w:type="dxa" w:w="33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8"/>
              </w:rPr>
              <w:t>核心问题 / Core question</w:t>
            </w:r>
          </w:p>
        </w:tc>
        <w:tc>
          <w:tcPr>
            <w:tcW w:type="dxa" w:w="426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8"/>
              </w:rPr>
              <w:t>交付 / Deliverable</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前沿综述</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当前研究已经知道什么？</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证据梯度与来源边界</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局限性</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为什么 Harness 重要仍不等于因果知识？</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八类归因与评价缺口</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六类失配</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什么结构条件持续产生失败？</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六套受控实验合同</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方法合同</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实验怎样才能可复现、可证伪、可迁移？</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最小实验合同与研究路线</w:t>
            </w:r>
          </w:p>
        </w:tc>
      </w:tr>
    </w:tbl>
    <w:p>
      <w:pPr>
        <w:spacing w:before="280" w:after="160"/>
        <w:shd w:val="clear" w:fill="FFF8E8"/>
        <w:pBdr>
          <w:left w:val="single" w:sz="16" w:space="10" w:color="A66C00"/>
        </w:pBdr>
      </w:pPr>
      <w:r>
        <w:rPr>
          <w:rFonts w:ascii="Calibri" w:hAnsi="Calibri" w:eastAsia="Microsoft YaHei"/>
          <w:b/>
          <w:color w:val="0B2545"/>
          <w:sz w:val="21"/>
        </w:rPr>
        <w:t>证据边界 / Evidence boundary: 2026 年预印本用于描述前沿方向，不被当作已定稿的普遍定律。</w:t>
      </w:r>
    </w:p>
    <w:p>
      <w:r>
        <w:br w:type="page"/>
      </w:r>
    </w:p>
    <w:p>
      <w:pPr>
        <w:pStyle w:val="LanguageTitle"/>
        <w:jc w:val="left"/>
      </w:pPr>
      <w:r>
        <w:rPr>
          <w:rFonts w:ascii="Calibri" w:hAnsi="Calibri" w:eastAsia="Microsoft YaHei"/>
          <w:b/>
          <w:color w:val="0B2545"/>
          <w:sz w:val="48"/>
        </w:rPr>
        <w:t>Agent 工程为什么必须重视受控实验</w:t>
      </w:r>
    </w:p>
    <w:p>
      <w:pPr>
        <w:pStyle w:val="LanguageSubtitle"/>
      </w:pPr>
      <w:r>
        <w:rPr>
          <w:rFonts w:ascii="Calibri" w:hAnsi="Calibri" w:eastAsia="Microsoft YaHei"/>
          <w:b w:val="0"/>
          <w:color w:val="1F4D78"/>
          <w:sz w:val="28"/>
        </w:rPr>
        <w:t>从 Benchmark 进步走向可累积的 Runtime 机制科学</w:t>
      </w:r>
    </w:p>
    <w:p>
      <w:r>
        <w:rPr>
          <w:rFonts w:ascii="Calibri" w:hAnsi="Calibri" w:eastAsia="Microsoft YaHei"/>
          <w:b/>
          <w:color w:val="111111"/>
          <w:sz w:val="22"/>
        </w:rPr>
        <w:t>状态：</w:t>
      </w:r>
      <w:r>
        <w:rPr>
          <w:rFonts w:ascii="Calibri" w:hAnsi="Calibri" w:eastAsia="Microsoft YaHei"/>
          <w:b w:val="0"/>
          <w:color w:val="111111"/>
          <w:sz w:val="22"/>
        </w:rPr>
        <w:t xml:space="preserve"> Working Draft v0.1</w:t>
      </w:r>
    </w:p>
    <w:p>
      <w:r>
        <w:rPr>
          <w:rFonts w:ascii="Calibri" w:hAnsi="Calibri" w:eastAsia="Microsoft YaHei"/>
          <w:b/>
          <w:color w:val="111111"/>
          <w:sz w:val="22"/>
        </w:rPr>
        <w:t>日期：</w:t>
      </w:r>
      <w:r>
        <w:rPr>
          <w:rFonts w:ascii="Calibri" w:hAnsi="Calibri" w:eastAsia="Microsoft YaHei"/>
          <w:b w:val="0"/>
          <w:color w:val="111111"/>
          <w:sz w:val="22"/>
        </w:rPr>
        <w:t xml:space="preserve"> 2026-08-12</w:t>
      </w:r>
    </w:p>
    <w:p>
      <w:r>
        <w:rPr>
          <w:rFonts w:ascii="Calibri" w:hAnsi="Calibri" w:eastAsia="Microsoft YaHei"/>
          <w:b/>
          <w:color w:val="111111"/>
          <w:sz w:val="22"/>
        </w:rPr>
        <w:t>配套版本：</w:t>
      </w:r>
      <w:r>
        <w:rPr>
          <w:rFonts w:ascii="Calibri" w:hAnsi="Calibri" w:eastAsia="Microsoft YaHei"/>
          <w:b w:val="0"/>
          <w:color w:val="111111"/>
          <w:sz w:val="22"/>
        </w:rPr>
        <w:t xml:space="preserve"> </w:t>
      </w:r>
      <w:hyperlink r:id="rId9">
        <w:r>
          <w:rPr>
            <w:rFonts w:ascii="Calibri" w:hAnsi="Calibri" w:eastAsia="Microsoft YaHei"/>
            <w:color w:val="2E74B5"/>
            <w:u w:val="single"/>
          </w:rPr>
          <w:t>English version</w:t>
        </w:r>
      </w:hyperlink>
    </w:p>
    <w:p>
      <w:r>
        <w:rPr>
          <w:rFonts w:ascii="Calibri" w:hAnsi="Calibri" w:eastAsia="Microsoft YaHei"/>
          <w:b/>
          <w:color w:val="111111"/>
          <w:sz w:val="22"/>
        </w:rPr>
        <w:t>相关框架：</w:t>
      </w:r>
      <w:r>
        <w:rPr>
          <w:rFonts w:ascii="Calibri" w:hAnsi="Calibri" w:eastAsia="Microsoft YaHei"/>
          <w:b w:val="0"/>
          <w:color w:val="111111"/>
          <w:sz w:val="22"/>
        </w:rPr>
        <w:t xml:space="preserve"> </w:t>
      </w:r>
      <w:hyperlink r:id="rId10">
        <w:r>
          <w:rPr>
            <w:rFonts w:ascii="Calibri" w:hAnsi="Calibri" w:eastAsia="Microsoft YaHei"/>
            <w:color w:val="2E74B5"/>
            <w:u w:val="single"/>
          </w:rPr>
          <w:t>Agent Hardness Framework</w:t>
        </w:r>
      </w:hyperlink>
      <w:r>
        <w:rPr>
          <w:rFonts w:ascii="Calibri" w:hAnsi="Calibri" w:eastAsia="Microsoft YaHei"/>
          <w:b w:val="0"/>
          <w:color w:val="111111"/>
          <w:sz w:val="22"/>
        </w:rPr>
        <w:t xml:space="preserve"> · </w:t>
      </w:r>
      <w:hyperlink r:id="rId11">
        <w:r>
          <w:rPr>
            <w:rFonts w:ascii="Calibri" w:hAnsi="Calibri" w:eastAsia="Microsoft YaHei"/>
            <w:color w:val="2E74B5"/>
            <w:u w:val="single"/>
          </w:rPr>
          <w:t>六类原始失配</w:t>
        </w:r>
      </w:hyperlink>
    </w:p>
    <w:p>
      <w:pPr>
        <w:pStyle w:val="Heading1"/>
      </w:pPr>
      <w:r>
        <w:rPr>
          <w:rFonts w:ascii="Calibri" w:hAnsi="Calibri" w:eastAsia="Microsoft YaHei"/>
          <w:b/>
          <w:color w:val="2E74B5"/>
          <w:sz w:val="32"/>
        </w:rPr>
        <w:t>摘要</w:t>
      </w:r>
    </w:p>
    <w:p>
      <w:pPr>
        <w:spacing w:after="100" w:line="288" w:lineRule="auto"/>
      </w:pPr>
      <w:r>
        <w:rPr>
          <w:rFonts w:ascii="Calibri" w:hAnsi="Calibri" w:eastAsia="Microsoft YaHei"/>
          <w:b w:val="0"/>
          <w:color w:val="111111"/>
          <w:sz w:val="20"/>
        </w:rPr>
        <w:t>Agent 工程正在从 Prompt 技巧转向完整运行时系统的设计：模型、上下文构造器、工具、记忆、路由器、规划器、验证器、状态存储、提交协议和恢复回路共同决定系统表现。然而，研究界仍常把这些系统当成不可分割的产品来评价：一次新 Agent 发布同时更换模型、Prompt、工具接口、重试预算、验证器和 Benchmark Harness，随后把端到端分数的变化当成改进来源已经被识别。</w:t>
      </w:r>
    </w:p>
    <w:p>
      <w:pPr>
        <w:spacing w:after="100" w:line="288" w:lineRule="auto"/>
      </w:pPr>
      <w:r>
        <w:rPr>
          <w:rFonts w:ascii="Calibri" w:hAnsi="Calibri" w:eastAsia="Microsoft YaHei"/>
          <w:b w:val="0"/>
          <w:color w:val="111111"/>
          <w:sz w:val="20"/>
        </w:rPr>
        <w:t>这种证据足以支撑排行榜，却不足以支撑一门可累积的工程科学。</w:t>
      </w:r>
    </w:p>
    <w:p>
      <w:pPr>
        <w:spacing w:after="100" w:line="288" w:lineRule="auto"/>
      </w:pPr>
      <w:r>
        <w:rPr>
          <w:rFonts w:ascii="Calibri" w:hAnsi="Calibri" w:eastAsia="Microsoft YaHei"/>
          <w:b w:val="0"/>
          <w:color w:val="111111"/>
          <w:sz w:val="20"/>
        </w:rPr>
        <w:t>前沿工作已经开始纠正这一失衡。Agent-computer interface、可复现 Agent 评价、Harness 纵向演化、统一评价框架、全因子实验和多次生成统计都指向同一结论：一个 Agent 分数是模型、Harness、环境、预算和评价器的联合属性。固定模型研究表明，仅改变 Scaffold 就能显著改变质量；跨模型研究表明，Harness 敏感性与模型能力并不是简单单调关系；一线工程报告也越来越把可观测性、持久状态、可验证结果和机械约束视为一等基础设施。</w:t>
      </w:r>
    </w:p>
    <w:p>
      <w:pPr>
        <w:spacing w:after="100" w:line="288" w:lineRule="auto"/>
      </w:pPr>
      <w:r>
        <w:rPr>
          <w:rFonts w:ascii="Calibri" w:hAnsi="Calibri" w:eastAsia="Microsoft YaHei"/>
          <w:b w:val="0"/>
          <w:color w:val="111111"/>
          <w:sz w:val="20"/>
        </w:rPr>
        <w:t>但这些前沿观点仍有局限。证明“Harness 很重要”并没有识别究竟修复了哪一种结构失败、通过什么因果通道起效、在哪些条件下起效，以及换模型后什么可以迁移。本文提出一个更严格、可证伪的地基：把观测—表征、状态、拟合边界、支持、聚合和规格失配视为任务价值从世界进入 Agent 并最终被验证提交时六种候选结构损失方式。结构持续假设预测：模型升级可以降低它们的频率并移动边界，却不能在开放任务、有限资源和不完备接口下统一消灭这些结构维度。</w:t>
      </w:r>
    </w:p>
    <w:p>
      <w:pPr>
        <w:spacing w:after="100" w:line="288" w:lineRule="auto"/>
      </w:pPr>
      <w:r>
        <w:rPr>
          <w:rFonts w:ascii="Calibri" w:hAnsi="Calibri" w:eastAsia="Microsoft YaHei"/>
          <w:b w:val="0"/>
          <w:color w:val="111111"/>
          <w:sz w:val="20"/>
        </w:rPr>
        <w:t>因此，受控实验应成为 Agent 工程的中心方法。它不是为了冻结某代模型的行为，而是为了识别能跨代复验的结构条件、因果机制、交互作用和启用边界。模型升级移动边界；受控实验测量边界上的治理规律。</w:t>
      </w:r>
    </w:p>
    <w:p>
      <w:r>
        <w:br w:type="page"/>
      </w:r>
    </w:p>
    <w:p>
      <w:pPr>
        <w:spacing w:before="0" w:after="100"/>
        <w:jc w:val="center"/>
      </w:pPr>
      <w:r>
        <w:drawing>
          <wp:inline xmlns:a="http://schemas.openxmlformats.org/drawingml/2006/main" xmlns:pic="http://schemas.openxmlformats.org/drawingml/2006/picture">
            <wp:extent cx="4645152" cy="7426624"/>
            <wp:docPr id="1" name="Picture 1" title="Six primitive mismatches" descr="图 1. LLM 系统中的六类原始失配与价值保存管线。"/>
            <wp:cNvGraphicFramePr>
              <a:graphicFrameLocks noChangeAspect="1"/>
            </wp:cNvGraphicFramePr>
            <a:graphic>
              <a:graphicData uri="http://schemas.openxmlformats.org/drawingml/2006/picture">
                <pic:pic>
                  <pic:nvPicPr>
                    <pic:cNvPr id="0" name="six_mismatch.zh.png"/>
                    <pic:cNvPicPr/>
                  </pic:nvPicPr>
                  <pic:blipFill>
                    <a:blip r:embed="rId12"/>
                    <a:stretch>
                      <a:fillRect/>
                    </a:stretch>
                  </pic:blipFill>
                  <pic:spPr>
                    <a:xfrm>
                      <a:off x="0" y="0"/>
                      <a:ext cx="4645152" cy="7426624"/>
                    </a:xfrm>
                    <a:prstGeom prst="rect"/>
                  </pic:spPr>
                </pic:pic>
              </a:graphicData>
            </a:graphic>
          </wp:inline>
        </w:drawing>
      </w:r>
    </w:p>
    <w:p>
      <w:pPr>
        <w:pStyle w:val="CaptionCustom"/>
        <w:jc w:val="center"/>
      </w:pPr>
      <w:r>
        <w:rPr>
          <w:rFonts w:ascii="Calibri" w:hAnsi="Calibri" w:eastAsia="Microsoft YaHei"/>
          <w:b w:val="0"/>
          <w:color w:val="5B6573"/>
          <w:sz w:val="18"/>
        </w:rPr>
        <w:t>图 1. LLM 系统中的六类原始失配与价值保存管线。</w:t>
      </w:r>
    </w:p>
    <w:p>
      <w:r>
        <w:br w:type="page"/>
      </w:r>
    </w:p>
    <w:p>
      <w:pPr>
        <w:pStyle w:val="Heading1"/>
      </w:pPr>
      <w:r>
        <w:rPr>
          <w:rFonts w:ascii="Calibri" w:hAnsi="Calibri" w:eastAsia="Microsoft YaHei"/>
          <w:b/>
          <w:color w:val="2E74B5"/>
          <w:sz w:val="32"/>
        </w:rPr>
        <w:t>1. 方法论问题是混杂，不是 Benchmark 不够多</w:t>
      </w:r>
    </w:p>
    <w:p>
      <w:r>
        <w:rPr>
          <w:rFonts w:ascii="Calibri" w:hAnsi="Calibri" w:eastAsia="Microsoft YaHei"/>
          <w:b w:val="0"/>
          <w:color w:val="111111"/>
          <w:sz w:val="22"/>
        </w:rPr>
        <w:t>设 Agent 系统的期望价值为：</w:t>
      </w:r>
    </w:p>
    <w:p>
      <w:pPr>
        <w:spacing w:before="100" w:after="180"/>
        <w:jc w:val="center"/>
      </w:pPr>
      <w:r>
        <w:rPr>
          <w:rFonts w:ascii="Cambria Math" w:hAnsi="Cambria Math" w:eastAsia="Microsoft YaHei"/>
          <w:color w:val="0B2545"/>
          <w:sz w:val="21"/>
        </w:rPr>
        <w:t>J(\theta,H,E,D,b,V),</w:t>
      </w:r>
    </w:p>
    <w:p>
      <w:r>
        <w:rPr>
          <w:rFonts w:ascii="Calibri" w:hAnsi="Calibri" w:eastAsia="Microsoft YaHei"/>
          <w:b w:val="0"/>
          <w:color w:val="111111"/>
          <w:sz w:val="22"/>
        </w:rPr>
        <w:t>其中：</w:t>
      </w:r>
    </w:p>
    <w:p>
      <w:pPr>
        <w:spacing w:before="0" w:after="80" w:line="290" w:lineRule="auto"/>
        <w:numPr>
          <w:ilvl w:val="0"/>
          <w:numId w:val="10"/>
        </w:numPr>
      </w:pPr>
      <w:r>
        <w:rPr>
          <w:rFonts w:ascii="Calibri" w:hAnsi="Calibri" w:eastAsia="Microsoft YaHei"/>
          <w:b w:val="0"/>
          <w:color w:val="111111"/>
          <w:sz w:val="21"/>
        </w:rPr>
        <w:t>\(\theta\)：模型与推理策略；</w:t>
      </w:r>
    </w:p>
    <w:p>
      <w:pPr>
        <w:spacing w:before="0" w:after="80" w:line="290" w:lineRule="auto"/>
        <w:numPr>
          <w:ilvl w:val="0"/>
          <w:numId w:val="10"/>
        </w:numPr>
      </w:pPr>
      <w:r>
        <w:rPr>
          <w:rFonts w:ascii="Calibri" w:hAnsi="Calibri" w:eastAsia="Microsoft YaHei"/>
          <w:b w:val="0"/>
          <w:color w:val="111111"/>
          <w:sz w:val="21"/>
        </w:rPr>
        <w:t>\(H\)：运行时 Harness；</w:t>
      </w:r>
    </w:p>
    <w:p>
      <w:pPr>
        <w:spacing w:before="0" w:after="80" w:line="290" w:lineRule="auto"/>
        <w:numPr>
          <w:ilvl w:val="0"/>
          <w:numId w:val="10"/>
        </w:numPr>
      </w:pPr>
      <w:r>
        <w:rPr>
          <w:rFonts w:ascii="Calibri" w:hAnsi="Calibri" w:eastAsia="Microsoft YaHei"/>
          <w:b w:val="0"/>
          <w:color w:val="111111"/>
          <w:sz w:val="21"/>
        </w:rPr>
        <w:t>\(E\)：环境与工具表面；</w:t>
      </w:r>
    </w:p>
    <w:p>
      <w:pPr>
        <w:spacing w:before="0" w:after="80" w:line="290" w:lineRule="auto"/>
        <w:numPr>
          <w:ilvl w:val="0"/>
          <w:numId w:val="10"/>
        </w:numPr>
      </w:pPr>
      <w:r>
        <w:rPr>
          <w:rFonts w:ascii="Calibri" w:hAnsi="Calibri" w:eastAsia="Microsoft YaHei"/>
          <w:b w:val="0"/>
          <w:color w:val="111111"/>
          <w:sz w:val="21"/>
        </w:rPr>
        <w:t>\(D\)：任务分布；</w:t>
      </w:r>
    </w:p>
    <w:p>
      <w:pPr>
        <w:spacing w:before="0" w:after="80" w:line="290" w:lineRule="auto"/>
        <w:numPr>
          <w:ilvl w:val="0"/>
          <w:numId w:val="10"/>
        </w:numPr>
      </w:pPr>
      <w:r>
        <w:rPr>
          <w:rFonts w:ascii="Calibri" w:hAnsi="Calibri" w:eastAsia="Microsoft YaHei"/>
          <w:b w:val="0"/>
          <w:color w:val="111111"/>
          <w:sz w:val="21"/>
        </w:rPr>
        <w:t>\(b\)：token、时间、调用、金钱和风险预算；</w:t>
      </w:r>
    </w:p>
    <w:p>
      <w:pPr>
        <w:spacing w:before="0" w:after="80" w:line="290" w:lineRule="auto"/>
        <w:numPr>
          <w:ilvl w:val="0"/>
          <w:numId w:val="10"/>
        </w:numPr>
      </w:pPr>
      <w:r>
        <w:rPr>
          <w:rFonts w:ascii="Calibri" w:hAnsi="Calibri" w:eastAsia="Microsoft YaHei"/>
          <w:b w:val="0"/>
          <w:color w:val="111111"/>
          <w:sz w:val="21"/>
        </w:rPr>
        <w:t>\(V\)：评价器或 Oracle。</w:t>
      </w:r>
    </w:p>
    <w:p>
      <w:r>
        <w:rPr>
          <w:rFonts w:ascii="Calibri" w:hAnsi="Calibri" w:eastAsia="Microsoft YaHei"/>
          <w:b w:val="0"/>
          <w:color w:val="111111"/>
          <w:sz w:val="22"/>
        </w:rPr>
        <w:t>大多数公开比较一次改变多个变量。新 Agent 可能同时使用更强模型、更长上下文、不同系统 Prompt、新工具、更大重试预算、不同截断规则、更宽松的验证器和更新后的任务集。此时观察到的：</w:t>
      </w:r>
    </w:p>
    <w:p>
      <w:pPr>
        <w:spacing w:before="100" w:after="180"/>
        <w:jc w:val="center"/>
      </w:pPr>
      <w:r>
        <w:rPr>
          <w:rFonts w:ascii="Cambria Math" w:hAnsi="Cambria Math" w:eastAsia="Microsoft YaHei"/>
          <w:color w:val="0B2545"/>
          <w:sz w:val="21"/>
        </w:rPr>
        <w:t>J(\theta_2,H_2,E_2,D_2,b_2,V_2)</w:t>
      </w:r>
      <w:r>
        <w:br/>
      </w:r>
      <w:r>
        <w:rPr>
          <w:rFonts w:ascii="Cambria Math" w:hAnsi="Cambria Math" w:eastAsia="Microsoft YaHei"/>
          <w:color w:val="0B2545"/>
          <w:sz w:val="21"/>
        </w:rPr>
        <w:t>-</w:t>
      </w:r>
      <w:r>
        <w:br/>
      </w:r>
      <w:r>
        <w:rPr>
          <w:rFonts w:ascii="Cambria Math" w:hAnsi="Cambria Math" w:eastAsia="Microsoft YaHei"/>
          <w:color w:val="0B2545"/>
          <w:sz w:val="21"/>
        </w:rPr>
        <w:t>J(\theta_1,H_1,E_1,D_1,b_1,V_1)</w:t>
      </w:r>
    </w:p>
    <w:p>
      <w:r>
        <w:rPr>
          <w:rFonts w:ascii="Calibri" w:hAnsi="Calibri" w:eastAsia="Microsoft YaHei"/>
          <w:b w:val="0"/>
          <w:color w:val="111111"/>
          <w:sz w:val="22"/>
        </w:rPr>
        <w:t>是有效的产品比较，却不是已经识别的机制效应。</w:t>
      </w:r>
    </w:p>
    <w:p>
      <w:r>
        <w:rPr>
          <w:rFonts w:ascii="Calibri" w:hAnsi="Calibri" w:eastAsia="Microsoft YaHei"/>
          <w:b w:val="0"/>
          <w:color w:val="111111"/>
          <w:sz w:val="22"/>
        </w:rPr>
        <w:t>产品优化与科学积累问的是两类不同问题：</w:t>
      </w:r>
    </w:p>
    <w:p>
      <w:pPr>
        <w:spacing w:before="80" w:after="200" w:line="252" w:lineRule="auto"/>
        <w:ind w:left="317" w:right="115"/>
        <w:jc w:val="left"/>
        <w:shd w:val="clear" w:fill="F2F4F7"/>
        <w:pBdr>
          <w:left w:val="single" w:sz="14" w:space="8" w:color="0A6E75"/>
        </w:pBdr>
      </w:pPr>
      <w:r>
        <w:rPr>
          <w:rFonts w:ascii="Consolas" w:hAnsi="Consolas" w:eastAsia="Microsoft YaHei"/>
          <w:color w:val="1F4D78"/>
          <w:sz w:val="18"/>
        </w:rPr>
        <w:t>产品问题：</w:t>
      </w:r>
      <w:r>
        <w:br/>
      </w:r>
      <w:r>
        <w:rPr>
          <w:rFonts w:ascii="Consolas" w:hAnsi="Consolas" w:eastAsia="Microsoft YaHei"/>
          <w:color w:val="1F4D78"/>
          <w:sz w:val="18"/>
        </w:rPr>
        <w:t>今天应该部署哪个完整系统？</w:t>
      </w:r>
      <w:r>
        <w:br/>
      </w:r>
      <w:r>
        <w:rPr>
          <w:rFonts w:ascii="Consolas" w:hAnsi="Consolas" w:eastAsia="Microsoft YaHei"/>
          <w:color w:val="1F4D78"/>
          <w:sz w:val="18"/>
        </w:rPr>
      </w:r>
      <w:r>
        <w:br/>
      </w:r>
      <w:r>
        <w:rPr>
          <w:rFonts w:ascii="Consolas" w:hAnsi="Consolas" w:eastAsia="Microsoft YaHei"/>
          <w:color w:val="1F4D78"/>
          <w:sz w:val="18"/>
        </w:rPr>
        <w:t>科学问题：</w:t>
      </w:r>
      <w:r>
        <w:br/>
      </w:r>
      <w:r>
        <w:rPr>
          <w:rFonts w:ascii="Consolas" w:hAnsi="Consolas" w:eastAsia="Microsoft YaHei"/>
          <w:color w:val="1F4D78"/>
          <w:sz w:val="18"/>
        </w:rPr>
        <w:t>在条件 C 下，干预 G 是否通过机制 M 改变结果 Y，</w:t>
      </w:r>
      <w:r>
        <w:br/>
      </w:r>
      <w:r>
        <w:rPr>
          <w:rFonts w:ascii="Consolas" w:hAnsi="Consolas" w:eastAsia="Microsoft YaHei"/>
          <w:color w:val="1F4D78"/>
          <w:sz w:val="18"/>
        </w:rPr>
        <w:t>代价是多少，与哪些变量发生交互？</w:t>
      </w:r>
    </w:p>
    <w:p>
      <w:r>
        <w:rPr>
          <w:rFonts w:ascii="Calibri" w:hAnsi="Calibri" w:eastAsia="Microsoft YaHei"/>
          <w:b w:val="0"/>
          <w:color w:val="111111"/>
          <w:sz w:val="22"/>
        </w:rPr>
        <w:t>端到端评价仍然必要，因为用户使用的是完整系统，而不是消融表格。但端到端评价是证据链的最后一层，不能替代下面的因果层。如果没有受控对照，这个领域只会不断发现新配方，却无法解释它们为什么有效、何时失效，以及模型升级后什么知识应当保留。</w:t>
      </w:r>
    </w:p>
    <w:p>
      <w:r>
        <w:rPr>
          <w:rFonts w:ascii="Calibri" w:hAnsi="Calibri" w:eastAsia="Microsoft YaHei"/>
          <w:b w:val="0"/>
          <w:color w:val="111111"/>
          <w:sz w:val="22"/>
        </w:rPr>
        <w:t>本文所说的</w:t>
      </w:r>
      <w:r>
        <w:rPr>
          <w:rFonts w:ascii="Calibri" w:hAnsi="Calibri" w:eastAsia="Microsoft YaHei"/>
          <w:b/>
          <w:color w:val="111111"/>
          <w:sz w:val="22"/>
        </w:rPr>
        <w:t>受控实验</w:t>
      </w:r>
      <w:r>
        <w:rPr>
          <w:rFonts w:ascii="Calibri" w:hAnsi="Calibri" w:eastAsia="Microsoft YaHei"/>
          <w:b w:val="0"/>
          <w:color w:val="111111"/>
          <w:sz w:val="22"/>
        </w:rPr>
        <w:t>，是指预先规定一个运行时或环境变量的操纵，设置条件匹配的对照组，使用权威终点，并明确证伪条件。可行时应随机化，但成对确定性探针、分块离线试验和全因子机制研究同样属于受控实验；它不意味着所有有价值的问题都必须被压成生产在线 A/B 测试。</w:t>
      </w:r>
    </w:p>
    <w:p>
      <w:pPr>
        <w:pStyle w:val="Heading1"/>
      </w:pPr>
      <w:r>
        <w:rPr>
          <w:rFonts w:ascii="Calibri" w:hAnsi="Calibri" w:eastAsia="Microsoft YaHei"/>
          <w:b/>
          <w:color w:val="2E74B5"/>
          <w:sz w:val="32"/>
        </w:rPr>
        <w:t>2. 前沿正在从模型分数转向系统证据</w:t>
      </w:r>
    </w:p>
    <w:p>
      <w:r>
        <w:rPr>
          <w:rFonts w:ascii="Calibri" w:hAnsi="Calibri" w:eastAsia="Microsoft YaHei"/>
          <w:b w:val="0"/>
          <w:color w:val="111111"/>
          <w:sz w:val="22"/>
        </w:rPr>
        <w:t>多条研究路线已经开始汇聚到联合系统视角。</w:t>
      </w:r>
    </w:p>
    <w:tbl>
      <w:tblPr>
        <w:tblW w:type="dxa" w:w="9360"/>
        <w:jc w:val="left"/>
        <w:tblLayout w:type="fixed"/>
        <w:tblLook w:firstColumn="1" w:firstRow="1" w:lastColumn="0" w:lastRow="0" w:noHBand="0" w:noVBand="1" w:val="04A0"/>
        <w:tblInd w:w="120" w:type="dxa"/>
        <w:tblBorders>
          <w:top w:val="single" w:sz="4" w:color="B8C2CE" w:space="0"/>
          <w:left w:val="single" w:sz="4" w:color="B8C2CE" w:space="0"/>
          <w:bottom w:val="single" w:sz="4" w:color="B8C2CE" w:space="0"/>
          <w:right w:val="single" w:sz="4" w:color="B8C2CE" w:space="0"/>
          <w:insideH w:val="single" w:sz="4" w:color="B8C2CE" w:space="0"/>
          <w:insideV w:val="single" w:sz="4" w:color="B8C2CE" w:space="0"/>
        </w:tblBorders>
      </w:tblPr>
      <w:tblGrid>
        <w:gridCol w:w="1800"/>
        <w:gridCol w:w="3300"/>
        <w:gridCol w:w="4260"/>
      </w:tblGrid>
      <w:tr>
        <w:trPr>
          <w:tblHeader w:val="true"/>
        </w:trPr>
        <w:tc>
          <w:tcPr>
            <w:tcW w:type="dxa" w:w="18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8"/>
              </w:rPr>
              <w:t>研究路线</w:t>
            </w:r>
          </w:p>
        </w:tc>
        <w:tc>
          <w:tcPr>
            <w:tcW w:type="dxa" w:w="33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8"/>
              </w:rPr>
              <w:t>已经建立的认识</w:t>
            </w:r>
          </w:p>
        </w:tc>
        <w:tc>
          <w:tcPr>
            <w:tcW w:type="dxa" w:w="426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8"/>
              </w:rPr>
              <w:t>仍未建立的认识</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METR 的 Time Horizon 研究</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前沿 Agent 能可靠完成的人类等效任务时长快速增长，能力边界持续移动。</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增益究竟来自模型、固定评价 Scaffold、任务构成还是交互；也没有证明运行时治理会失去必要性。</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SWE-agent</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Agent-computer interface 的设计会显著影响模型导航、编辑和测试软件的能力。</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软件工程之外的通用接口因果分类。</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AI Agents That Matter</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只看准确率会混淆开发者需求、成本、过拟合和可复现性。</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运行时干预的机制级分解。</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OpenAI Harness Engineering</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可读环境、反馈回路、机械约束、仓库内知识和可观测性可以在真实工程中产生复利。</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随机化对照；这是高价值现场证据，不是因果识别。</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Anthropic Agent Evals 指南</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评价单位是模型—Harness 联合系统；试验需要隔离环境、多次尝试、轨迹与结果状态评价器。</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哪一种 Harness 机制普遍有效。</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From Model Scaling to System Scaling</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上下文、记忆、路由、编排、验证和治理应成为一等设计与评价对象。</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强跨领域因果证据；主要贡献仍是研究议程和参考架构。</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统一 LLM Agent 能力评价框架</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大规模 rollout 显示，Scaffold 选择和环境波动能双向改变 Benchmark 结果。</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所选统一 ReAct Scaffold 与任务适配本身带来的偏差尚未完全分离。</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Agent Harness Evolution Shapes Coding Agent Quality</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在 35 个连续 Harness 版本间固定模型，能观察到明显质量波动，并把变化关联到具体组件。</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一个 CLI、一个编码领域和 50 个分层任务之外的外部有效性。</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Harness Sensitivity Is Non-Monotone</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432 次受控运行否定了“模型越强越不需要结构”的简单单调论。</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模型能力层级规律；每个层级只测了一个模型，Benchmark 规模小且为合成任务。</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Agentic Harness Engineering</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可观测、可回滚的 Harness 演化能改善编码表现；工具、中间件和长期记忆比 Prompt 修改表现出更好的跨模型迁移。</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自动演化找到的是普遍机制，还是受 Benchmark 与优化器条件限制的改进。</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CAFE</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全因子设计与混合效应模型可以把复合 AI 系统的方差归因到组件及其交互。</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RAG 演示之外的通用性，以及模型评价器的有效性边界。</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Beyond the Singular</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多次生成与分层建模能暴露单次 Benchmark 分数掩盖的采样方差。</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长 Agent 轨迹中特有的环境、工具和状态相关性。</w:t>
            </w:r>
          </w:p>
        </w:tc>
      </w:tr>
    </w:tbl>
    <w:p>
      <w:pPr>
        <w:spacing w:after="80"/>
      </w:pPr>
    </w:p>
    <w:p>
      <w:r>
        <w:rPr>
          <w:rFonts w:ascii="Calibri" w:hAnsi="Calibri" w:eastAsia="Microsoft YaHei"/>
          <w:b w:val="0"/>
          <w:color w:val="111111"/>
          <w:sz w:val="22"/>
        </w:rPr>
        <w:t>这场变化最重要的是认识论转向。行业正在逐步接受四个命题：</w:t>
      </w:r>
    </w:p>
    <w:p>
      <w:pPr>
        <w:spacing w:before="0" w:after="80" w:line="290" w:lineRule="auto"/>
        <w:numPr>
          <w:ilvl w:val="0"/>
          <w:numId w:val="11"/>
        </w:numPr>
      </w:pPr>
      <w:r>
        <w:rPr>
          <w:rFonts w:ascii="Calibri" w:hAnsi="Calibri" w:eastAsia="Microsoft YaHei"/>
          <w:b w:val="0"/>
          <w:color w:val="111111"/>
          <w:sz w:val="21"/>
        </w:rPr>
        <w:t>“Agent”是复合系统，不是模型加一个长 Prompt；</w:t>
      </w:r>
    </w:p>
    <w:p>
      <w:pPr>
        <w:spacing w:before="0" w:after="80" w:line="290" w:lineRule="auto"/>
        <w:numPr>
          <w:ilvl w:val="0"/>
          <w:numId w:val="11"/>
        </w:numPr>
      </w:pPr>
      <w:r>
        <w:rPr>
          <w:rFonts w:ascii="Calibri" w:hAnsi="Calibri" w:eastAsia="Microsoft YaHei"/>
          <w:b w:val="0"/>
          <w:color w:val="111111"/>
          <w:sz w:val="21"/>
        </w:rPr>
        <w:t>最终成功由模型、Harness、环境、预算和 Oracle 联合产生；</w:t>
      </w:r>
    </w:p>
    <w:p>
      <w:pPr>
        <w:spacing w:before="0" w:after="80" w:line="290" w:lineRule="auto"/>
        <w:numPr>
          <w:ilvl w:val="0"/>
          <w:numId w:val="11"/>
        </w:numPr>
      </w:pPr>
      <w:r>
        <w:rPr>
          <w:rFonts w:ascii="Calibri" w:hAnsi="Calibri" w:eastAsia="Microsoft YaHei"/>
          <w:b w:val="0"/>
          <w:color w:val="111111"/>
          <w:sz w:val="21"/>
        </w:rPr>
        <w:t>轨迹和最终环境状态包含单一分数丢弃的信息；</w:t>
      </w:r>
    </w:p>
    <w:p>
      <w:pPr>
        <w:spacing w:before="0" w:after="80" w:line="290" w:lineRule="auto"/>
        <w:numPr>
          <w:ilvl w:val="0"/>
          <w:numId w:val="11"/>
        </w:numPr>
      </w:pPr>
      <w:r>
        <w:rPr>
          <w:rFonts w:ascii="Calibri" w:hAnsi="Calibri" w:eastAsia="Microsoft YaHei"/>
          <w:b w:val="0"/>
          <w:color w:val="111111"/>
          <w:sz w:val="21"/>
        </w:rPr>
        <w:t>随机系统必须进行重复试验、不确定性估计和匹配条件比较。</w:t>
      </w:r>
    </w:p>
    <w:p>
      <w:r>
        <w:rPr>
          <w:rFonts w:ascii="Calibri" w:hAnsi="Calibri" w:eastAsia="Microsoft YaHei"/>
          <w:b w:val="0"/>
          <w:color w:val="111111"/>
          <w:sz w:val="22"/>
        </w:rPr>
        <w:t>这些命题为受控实验打开了入口，但还没有完成受控实验的方法论。</w:t>
      </w:r>
    </w:p>
    <w:p>
      <w:pPr>
        <w:pStyle w:val="Heading1"/>
      </w:pPr>
      <w:r>
        <w:rPr>
          <w:rFonts w:ascii="Calibri" w:hAnsi="Calibri" w:eastAsia="Microsoft YaHei"/>
          <w:b/>
          <w:color w:val="2E74B5"/>
          <w:sz w:val="32"/>
        </w:rPr>
        <w:t>3. 为什么前沿观点仍不足以构成可累积科学</w:t>
      </w:r>
    </w:p>
    <w:p>
      <w:pPr>
        <w:pStyle w:val="Heading2"/>
      </w:pPr>
      <w:r>
        <w:rPr>
          <w:rFonts w:ascii="Calibri" w:hAnsi="Calibri" w:eastAsia="Microsoft YaHei"/>
          <w:b/>
          <w:color w:val="1F4D78"/>
          <w:sz w:val="26"/>
        </w:rPr>
        <w:t>3.1 “Harness 有用”是方向，不是因果解释</w:t>
      </w:r>
    </w:p>
    <w:p>
      <w:r>
        <w:rPr>
          <w:rFonts w:ascii="Calibri" w:hAnsi="Calibri" w:eastAsia="Microsoft YaHei"/>
          <w:b w:val="0"/>
          <w:color w:val="111111"/>
          <w:sz w:val="22"/>
        </w:rPr>
        <w:t>如果加入记忆后成功率提高，至少还有五种解释：缺失观测被补全；潜在状态被更准确表示；正确能力更常被路由；稀有高价值结构获得更多支持；或者局部正确片段被更一致地聚合。“记忆有用”只命名了组件，并没有识别被修复的失败。</w:t>
      </w:r>
    </w:p>
    <w:p>
      <w:r>
        <w:rPr>
          <w:rFonts w:ascii="Calibri" w:hAnsi="Calibri" w:eastAsia="Microsoft YaHei"/>
          <w:b w:val="0"/>
          <w:color w:val="111111"/>
          <w:sz w:val="22"/>
        </w:rPr>
        <w:t>组件名在不同实现间很不稳定。一个系统的“记忆”，可能是另一个系统的状态存储、检索层、Prompt 压缩器或审计日志。机制名更可迁移：观测覆盖、状态权威、路由校准、支持覆盖、组合完整性和目标保真度。</w:t>
      </w:r>
    </w:p>
    <w:p>
      <w:pPr>
        <w:pStyle w:val="Heading2"/>
      </w:pPr>
      <w:r>
        <w:rPr>
          <w:rFonts w:ascii="Calibri" w:hAnsi="Calibri" w:eastAsia="Microsoft YaHei"/>
          <w:b/>
          <w:color w:val="1F4D78"/>
          <w:sz w:val="26"/>
        </w:rPr>
        <w:t>3.2 消融不自动等于受控实验</w:t>
      </w:r>
    </w:p>
    <w:p>
      <w:r>
        <w:rPr>
          <w:rFonts w:ascii="Calibri" w:hAnsi="Calibri" w:eastAsia="Microsoft YaHei"/>
          <w:b w:val="0"/>
          <w:color w:val="111111"/>
          <w:sz w:val="22"/>
        </w:rPr>
        <w:t>删除一个组件可能同时改变 token 数、延迟、可用动作、Prompt 长度、模型注意力、重试机会和验证器行为。消融效应可以真实存在，因果通道却仍然模糊。有效对照必须有清晰的 treatment contract：固定什么、操纵什么、预期哪个中介变量变化、哪个终点具有权威，以及什么结果会证伪机制主张。</w:t>
      </w:r>
    </w:p>
    <w:p>
      <w:pPr>
        <w:pStyle w:val="Heading2"/>
      </w:pPr>
      <w:r>
        <w:rPr>
          <w:rFonts w:ascii="Calibri" w:hAnsi="Calibri" w:eastAsia="Microsoft YaHei"/>
          <w:b/>
          <w:color w:val="1F4D78"/>
          <w:sz w:val="26"/>
        </w:rPr>
        <w:t>3.3 Benchmark 经常把能力与机会混为一谈</w:t>
      </w:r>
    </w:p>
    <w:p>
      <w:r>
        <w:rPr>
          <w:rFonts w:ascii="Calibri" w:hAnsi="Calibri" w:eastAsia="Microsoft YaHei"/>
          <w:b w:val="0"/>
          <w:color w:val="111111"/>
          <w:sz w:val="22"/>
        </w:rPr>
        <w:t>模型无法使用从未观察到的信息，无法提交环境没有暴露的状态转移，也无法满足评价器错误表达的目标。但这些低分经常被记作“模型失败”。反过来，宽松评分器、泄露状态、共享缓存或针对 Benchmark 的 Scaffold 又可能制造虚假成功。最终测到的是“机会 + 能力”，却被报告成了纯能力。</w:t>
      </w:r>
    </w:p>
    <w:p>
      <w:pPr>
        <w:pStyle w:val="Heading2"/>
      </w:pPr>
      <w:r>
        <w:rPr>
          <w:rFonts w:ascii="Calibri" w:hAnsi="Calibri" w:eastAsia="Microsoft YaHei"/>
          <w:b/>
          <w:color w:val="1F4D78"/>
          <w:sz w:val="26"/>
        </w:rPr>
        <w:t>3.4 模型—Harness 交互会击穿单调配方</w:t>
      </w:r>
    </w:p>
    <w:p>
      <w:r>
        <w:rPr>
          <w:rFonts w:ascii="Calibri" w:hAnsi="Calibri" w:eastAsia="Microsoft YaHei"/>
          <w:b w:val="0"/>
          <w:color w:val="111111"/>
          <w:sz w:val="22"/>
        </w:rPr>
        <w:t>Harness 敏感性的非单调结果不是噪声，而是在警告我们不要只看主效应。严格 Scaffold 可能帮助一个推理模型，同时伤害一个前沿聊天模型。可信的工程规律必须是条件性的：</w:t>
      </w:r>
    </w:p>
    <w:p>
      <w:pPr>
        <w:spacing w:before="80" w:after="200" w:line="252" w:lineRule="auto"/>
        <w:ind w:left="317" w:right="115"/>
        <w:jc w:val="left"/>
        <w:shd w:val="clear" w:fill="F2F4F7"/>
        <w:pBdr>
          <w:left w:val="single" w:sz="14" w:space="8" w:color="0A6E75"/>
        </w:pBdr>
      </w:pPr>
      <w:r>
        <w:rPr>
          <w:rFonts w:ascii="Consolas" w:hAnsi="Consolas" w:eastAsia="Microsoft YaHei"/>
          <w:color w:val="1F4D78"/>
          <w:sz w:val="18"/>
        </w:rPr>
        <w:t>不是：机制 G 更好</w:t>
      </w:r>
      <w:r>
        <w:br/>
      </w:r>
      <w:r>
        <w:rPr>
          <w:rFonts w:ascii="Consolas" w:hAnsi="Consolas" w:eastAsia="Microsoft YaHei"/>
          <w:color w:val="1F4D78"/>
          <w:sz w:val="18"/>
        </w:rPr>
      </w:r>
      <w:r>
        <w:br/>
      </w:r>
      <w:r>
        <w:rPr>
          <w:rFonts w:ascii="Consolas" w:hAnsi="Consolas" w:eastAsia="Microsoft YaHei"/>
          <w:color w:val="1F4D78"/>
          <w:sz w:val="18"/>
        </w:rPr>
        <w:t>而是：当失配剂量 C 足够高、</w:t>
      </w:r>
      <w:r>
        <w:br/>
      </w:r>
      <w:r>
        <w:rPr>
          <w:rFonts w:ascii="Consolas" w:hAnsi="Consolas" w:eastAsia="Microsoft YaHei"/>
          <w:color w:val="1F4D78"/>
          <w:sz w:val="18"/>
        </w:rPr>
        <w:t xml:space="preserve">      模型族 θ 能利用 G、</w:t>
      </w:r>
      <w:r>
        <w:br/>
      </w:r>
      <w:r>
        <w:rPr>
          <w:rFonts w:ascii="Consolas" w:hAnsi="Consolas" w:eastAsia="Microsoft YaHei"/>
          <w:color w:val="1F4D78"/>
          <w:sz w:val="18"/>
        </w:rPr>
        <w:t xml:space="preserve">      且额外开销没有超过预算 b 时，</w:t>
      </w:r>
      <w:r>
        <w:br/>
      </w:r>
      <w:r>
        <w:rPr>
          <w:rFonts w:ascii="Consolas" w:hAnsi="Consolas" w:eastAsia="Microsoft YaHei"/>
          <w:color w:val="1F4D78"/>
          <w:sz w:val="18"/>
        </w:rPr>
        <w:t xml:space="preserve">      G 才更好。</w:t>
      </w:r>
    </w:p>
    <w:p>
      <w:pPr>
        <w:pStyle w:val="Heading2"/>
      </w:pPr>
      <w:r>
        <w:rPr>
          <w:rFonts w:ascii="Calibri" w:hAnsi="Calibri" w:eastAsia="Microsoft YaHei"/>
          <w:b/>
          <w:color w:val="1F4D78"/>
          <w:sz w:val="26"/>
        </w:rPr>
        <w:t>3.5 终点准确率掩盖权威与失败类型</w:t>
      </w:r>
    </w:p>
    <w:p>
      <w:r>
        <w:rPr>
          <w:rFonts w:ascii="Calibri" w:hAnsi="Calibri" w:eastAsia="Microsoft YaHei"/>
          <w:b w:val="0"/>
          <w:color w:val="111111"/>
          <w:sz w:val="22"/>
        </w:rPr>
        <w:t>Agent 可以声称任务完成，而数据库、代码仓库、日历或支付系统没有任何变化；也可能通过不安全、不可恢复的轨迹得到正确答案。只评价最终文本，会把声称状态、验证状态和提交状态压成一个对象。除了任务成功，Agent 工程还需要结果状态 Oracle、转移合法性、回滚证据、成本和尾部风险指标。</w:t>
      </w:r>
    </w:p>
    <w:p>
      <w:pPr>
        <w:pStyle w:val="Heading2"/>
      </w:pPr>
      <w:r>
        <w:rPr>
          <w:rFonts w:ascii="Calibri" w:hAnsi="Calibri" w:eastAsia="Microsoft YaHei"/>
          <w:b/>
          <w:color w:val="1F4D78"/>
          <w:sz w:val="26"/>
        </w:rPr>
        <w:t>3.6 模型评价器容易形成自指闭环</w:t>
      </w:r>
    </w:p>
    <w:p>
      <w:r>
        <w:rPr>
          <w:rFonts w:ascii="Calibri" w:hAnsi="Calibri" w:eastAsia="Microsoft YaHei"/>
          <w:b w:val="0"/>
          <w:color w:val="111111"/>
          <w:sz w:val="22"/>
        </w:rPr>
        <w:t>如果模型在相近 Prompt 或同族模型下同时负责生成、批评和评分，共享盲点可能伪装成一致性。模型评价器很有用，但必须用人类或可执行权威校准其误差。对一个未经验证的 Judge 算出统计显著性，并不能修复评价指标自身的规格失配。</w:t>
      </w:r>
    </w:p>
    <w:p>
      <w:pPr>
        <w:pStyle w:val="Heading2"/>
      </w:pPr>
      <w:r>
        <w:rPr>
          <w:rFonts w:ascii="Calibri" w:hAnsi="Calibri" w:eastAsia="Microsoft YaHei"/>
          <w:b/>
          <w:color w:val="1F4D78"/>
          <w:sz w:val="26"/>
        </w:rPr>
        <w:t>3.7 平均效应不是部署规则</w:t>
      </w:r>
    </w:p>
    <w:p>
      <w:r>
        <w:rPr>
          <w:rFonts w:ascii="Calibri" w:hAnsi="Calibri" w:eastAsia="Microsoft YaHei"/>
          <w:b w:val="0"/>
          <w:color w:val="111111"/>
          <w:sz w:val="22"/>
        </w:rPr>
        <w:t>正平均处理效应可能掩盖 crossover：Patch 可能在稀疏修改中占优，在稠密修改中失败；Audit 可能帮助难题，却在简单任务上浪费预算；额外观测可能在一种状态下消除不确定性，在另一种状态下制造干扰。Agent 工程需要剂量—响应曲线、交互项和启用策略，而不只是一个平均百分点。</w:t>
      </w:r>
    </w:p>
    <w:p>
      <w:pPr>
        <w:pStyle w:val="Heading2"/>
      </w:pPr>
      <w:r>
        <w:rPr>
          <w:rFonts w:ascii="Calibri" w:hAnsi="Calibri" w:eastAsia="Microsoft YaHei"/>
          <w:b/>
          <w:color w:val="1F4D78"/>
          <w:sz w:val="26"/>
        </w:rPr>
        <w:t>3.8 2026 年证据仍然年轻且集中在少数领域</w:t>
      </w:r>
    </w:p>
    <w:p>
      <w:r>
        <w:rPr>
          <w:rFonts w:ascii="Calibri" w:hAnsi="Calibri" w:eastAsia="Microsoft YaHei"/>
          <w:b w:val="0"/>
          <w:color w:val="111111"/>
          <w:sz w:val="22"/>
        </w:rPr>
        <w:t>多项最相关工作还是近期预印本，许多受控证据来自编码 Agent、合成任务或 RAG。它们给出了改变方法的充分理由，却没有授权我们宣布普适定律。正确回应应当是在更严格合同下复验，而不是否定这些证据，也不是过早把它们经典化。</w:t>
      </w:r>
    </w:p>
    <w:p>
      <w:pPr>
        <w:pStyle w:val="Heading1"/>
      </w:pPr>
      <w:r>
        <w:rPr>
          <w:rFonts w:ascii="Calibri" w:hAnsi="Calibri" w:eastAsia="Microsoft YaHei"/>
          <w:b/>
          <w:color w:val="2E74B5"/>
          <w:sz w:val="32"/>
        </w:rPr>
        <w:t>4. 更深层冲突：训练吸收假设与结构持续假设</w:t>
      </w:r>
    </w:p>
    <w:p>
      <w:r>
        <w:rPr>
          <w:rFonts w:ascii="Calibri" w:hAnsi="Calibri" w:eastAsia="Microsoft YaHei"/>
          <w:b w:val="0"/>
          <w:color w:val="111111"/>
          <w:sz w:val="22"/>
        </w:rPr>
        <w:t>Agent 研究中常见的隐含先验可以写成</w:t>
      </w:r>
      <w:r>
        <w:rPr>
          <w:rFonts w:ascii="Calibri" w:hAnsi="Calibri" w:eastAsia="Microsoft YaHei"/>
          <w:b/>
          <w:color w:val="111111"/>
          <w:sz w:val="22"/>
        </w:rPr>
        <w:t>训练吸收假设</w:t>
      </w:r>
      <w:r>
        <w:rPr>
          <w:rFonts w:ascii="Calibri" w:hAnsi="Calibri" w:eastAsia="Microsoft YaHei"/>
          <w:b w:val="0"/>
          <w:color w:val="111111"/>
          <w:sz w:val="22"/>
        </w:rPr>
        <w:t>：</w:t>
      </w:r>
    </w:p>
    <w:p>
      <w:pPr>
        <w:spacing w:before="100" w:after="180"/>
        <w:jc w:val="center"/>
      </w:pPr>
      <w:r>
        <w:rPr>
          <w:rFonts w:ascii="Cambria Math" w:hAnsi="Cambria Math" w:eastAsia="Microsoft YaHei"/>
          <w:color w:val="0B2545"/>
          <w:sz w:val="21"/>
        </w:rPr>
        <w:t>H_{\mathrm{absorb}}:</w:t>
      </w:r>
      <w:r>
        <w:br/>
      </w:r>
      <w:r>
        <w:rPr>
          <w:rFonts w:ascii="Cambria Math" w:hAnsi="Cambria Math" w:eastAsia="Microsoft YaHei"/>
          <w:color w:val="0B2545"/>
          <w:sz w:val="21"/>
        </w:rPr>
        <w:t>\forall g,\;\exists \theta'\text{ sufficiently capable such that }</w:t>
      </w:r>
      <w:r>
        <w:br/>
      </w:r>
      <w:r>
        <w:rPr>
          <w:rFonts w:ascii="Cambria Math" w:hAnsi="Cambria Math" w:eastAsia="Microsoft YaHei"/>
          <w:color w:val="0B2545"/>
          <w:sz w:val="21"/>
        </w:rPr>
        <w:t>J(\theta',h_0;D,b)\approx J(\theta,g;D,b).</w:t>
      </w:r>
    </w:p>
    <w:p>
      <w:r>
        <w:rPr>
          <w:rFonts w:ascii="Calibri" w:hAnsi="Calibri" w:eastAsia="Microsoft YaHei"/>
          <w:b w:val="0"/>
          <w:color w:val="111111"/>
          <w:sz w:val="22"/>
        </w:rPr>
        <w:t>其中 \(g\) 是治理或 Harness 机制，\(h_0\) 是最小运行时。这个假设认为：足够强的未来模型最终能在最小运行时中复制今天较弱模型从 \(g\) 获得的收益。如果它普遍成立，Runtime 实验大多只有寿命很短的产品价值。</w:t>
      </w:r>
    </w:p>
    <w:p>
      <w:r>
        <w:rPr>
          <w:rFonts w:ascii="Calibri" w:hAnsi="Calibri" w:eastAsia="Microsoft YaHei"/>
          <w:b w:val="0"/>
          <w:color w:val="111111"/>
          <w:sz w:val="22"/>
        </w:rPr>
        <w:t>另一种立场是</w:t>
      </w:r>
      <w:r>
        <w:rPr>
          <w:rFonts w:ascii="Calibri" w:hAnsi="Calibri" w:eastAsia="Microsoft YaHei"/>
          <w:b/>
          <w:color w:val="111111"/>
          <w:sz w:val="22"/>
        </w:rPr>
        <w:t>结构持续假设</w:t>
      </w:r>
      <w:r>
        <w:rPr>
          <w:rFonts w:ascii="Calibri" w:hAnsi="Calibri" w:eastAsia="Microsoft YaHei"/>
          <w:b w:val="0"/>
          <w:color w:val="111111"/>
          <w:sz w:val="22"/>
        </w:rPr>
        <w:t>：</w:t>
      </w:r>
    </w:p>
    <w:p>
      <w:pPr>
        <w:spacing w:before="100" w:after="180"/>
        <w:jc w:val="center"/>
      </w:pPr>
      <w:r>
        <w:rPr>
          <w:rFonts w:ascii="Cambria Math" w:hAnsi="Cambria Math" w:eastAsia="Microsoft YaHei"/>
          <w:color w:val="0B2545"/>
          <w:sz w:val="21"/>
        </w:rPr>
        <w:t>H_{\mathrm{persist}}:</w:t>
      </w:r>
      <w:r>
        <w:br/>
      </w:r>
      <w:r>
        <w:rPr>
          <w:rFonts w:ascii="Cambria Math" w:hAnsi="Cambria Math" w:eastAsia="Microsoft YaHei"/>
          <w:color w:val="0B2545"/>
          <w:sz w:val="21"/>
        </w:rPr>
        <w:t>\forall \theta\text{ with bounded resources},\;</w:t>
      </w:r>
      <w:r>
        <w:br/>
      </w:r>
      <w:r>
        <w:rPr>
          <w:rFonts w:ascii="Cambria Math" w:hAnsi="Cambria Math" w:eastAsia="Microsoft YaHei"/>
          <w:color w:val="0B2545"/>
          <w:sz w:val="21"/>
        </w:rPr>
        <w:t>\exists D_i\text{ that exhibits mismatch }M_i.</w:t>
      </w:r>
    </w:p>
    <w:p>
      <w:r>
        <w:rPr>
          <w:rFonts w:ascii="Calibri" w:hAnsi="Calibri" w:eastAsia="Microsoft YaHei"/>
          <w:b w:val="0"/>
          <w:color w:val="111111"/>
          <w:sz w:val="22"/>
        </w:rPr>
        <w:t>对于任意有限模型、有限上下文和有限推理预算，开放任务空间中都存在某个区域，使六类失配之一重新出现。更强模型可以降低失配频率、严重程度，或者把失配边界推得更远，却不会消灭产生失配的结构维度。</w:t>
      </w:r>
    </w:p>
    <w:p>
      <w:r>
        <w:rPr>
          <w:rFonts w:ascii="Calibri" w:hAnsi="Calibri" w:eastAsia="Microsoft YaHei"/>
          <w:b w:val="0"/>
          <w:color w:val="111111"/>
          <w:sz w:val="22"/>
        </w:rPr>
        <w:t>六类失配位于世界到提交的不同站点：</w:t>
      </w:r>
    </w:p>
    <w:p>
      <w:pPr>
        <w:spacing w:before="80" w:after="200" w:line="252" w:lineRule="auto"/>
        <w:ind w:left="317" w:right="115"/>
        <w:jc w:val="left"/>
        <w:shd w:val="clear" w:fill="F2F4F7"/>
        <w:pBdr>
          <w:left w:val="single" w:sz="14" w:space="8" w:color="0A6E75"/>
        </w:pBdr>
      </w:pPr>
      <w:r>
        <w:rPr>
          <w:rFonts w:ascii="Consolas" w:hAnsi="Consolas" w:eastAsia="Microsoft YaHei"/>
          <w:color w:val="1F4D78"/>
          <w:sz w:val="18"/>
        </w:rPr>
        <w:t>世界</w:t>
      </w:r>
      <w:r>
        <w:br/>
      </w:r>
      <w:r>
        <w:rPr>
          <w:rFonts w:ascii="Consolas" w:hAnsi="Consolas" w:eastAsia="Microsoft YaHei"/>
          <w:color w:val="1F4D78"/>
          <w:sz w:val="18"/>
        </w:rPr>
        <w:t>→ 观测与表征</w:t>
      </w:r>
      <w:r>
        <w:br/>
      </w:r>
      <w:r>
        <w:rPr>
          <w:rFonts w:ascii="Consolas" w:hAnsi="Consolas" w:eastAsia="Microsoft YaHei"/>
          <w:color w:val="1F4D78"/>
          <w:sz w:val="18"/>
        </w:rPr>
        <w:t>→ 状态识别</w:t>
      </w:r>
      <w:r>
        <w:br/>
      </w:r>
      <w:r>
        <w:rPr>
          <w:rFonts w:ascii="Consolas" w:hAnsi="Consolas" w:eastAsia="Microsoft YaHei"/>
          <w:color w:val="1F4D78"/>
          <w:sz w:val="18"/>
        </w:rPr>
        <w:t>→ 能力路由</w:t>
      </w:r>
      <w:r>
        <w:br/>
      </w:r>
      <w:r>
        <w:rPr>
          <w:rFonts w:ascii="Consolas" w:hAnsi="Consolas" w:eastAsia="Microsoft YaHei"/>
          <w:color w:val="1F4D78"/>
          <w:sz w:val="18"/>
        </w:rPr>
        <w:t>→ 候选支持</w:t>
      </w:r>
      <w:r>
        <w:br/>
      </w:r>
      <w:r>
        <w:rPr>
          <w:rFonts w:ascii="Consolas" w:hAnsi="Consolas" w:eastAsia="Microsoft YaHei"/>
          <w:color w:val="1F4D78"/>
          <w:sz w:val="18"/>
        </w:rPr>
        <w:t>→ 全局聚合</w:t>
      </w:r>
      <w:r>
        <w:br/>
      </w:r>
      <w:r>
        <w:rPr>
          <w:rFonts w:ascii="Consolas" w:hAnsi="Consolas" w:eastAsia="Microsoft YaHei"/>
          <w:color w:val="1F4D78"/>
          <w:sz w:val="18"/>
        </w:rPr>
        <w:t>→ 目标评价</w:t>
      </w:r>
      <w:r>
        <w:br/>
      </w:r>
      <w:r>
        <w:rPr>
          <w:rFonts w:ascii="Consolas" w:hAnsi="Consolas" w:eastAsia="Microsoft YaHei"/>
          <w:color w:val="1F4D78"/>
          <w:sz w:val="18"/>
        </w:rPr>
        <w:t>→ 验证提交</w:t>
      </w:r>
    </w:p>
    <w:tbl>
      <w:tblPr>
        <w:tblW w:type="dxa" w:w="9360"/>
        <w:jc w:val="left"/>
        <w:tblLayout w:type="fixed"/>
        <w:tblLook w:firstColumn="1" w:firstRow="1" w:lastColumn="0" w:lastRow="0" w:noHBand="0" w:noVBand="1" w:val="04A0"/>
        <w:tblInd w:w="120" w:type="dxa"/>
        <w:tblBorders>
          <w:top w:val="single" w:sz="4" w:color="B8C2CE" w:space="0"/>
          <w:left w:val="single" w:sz="4" w:color="B8C2CE" w:space="0"/>
          <w:bottom w:val="single" w:sz="4" w:color="B8C2CE" w:space="0"/>
          <w:right w:val="single" w:sz="4" w:color="B8C2CE" w:space="0"/>
          <w:insideH w:val="single" w:sz="4" w:color="B8C2CE" w:space="0"/>
          <w:insideV w:val="single" w:sz="4" w:color="B8C2CE" w:space="0"/>
        </w:tblBorders>
      </w:tblPr>
      <w:tblGrid>
        <w:gridCol w:w="1500"/>
        <w:gridCol w:w="2200"/>
        <w:gridCol w:w="2700"/>
        <w:gridCol w:w="2960"/>
      </w:tblGrid>
      <w:tr>
        <w:trPr>
          <w:tblHeader w:val="true"/>
        </w:trPr>
        <w:tc>
          <w:tcPr>
            <w:tcW w:type="dxa" w:w="15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7"/>
              </w:rPr>
              <w:t>失配</w:t>
            </w:r>
          </w:p>
        </w:tc>
        <w:tc>
          <w:tcPr>
            <w:tcW w:type="dxa" w:w="22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7"/>
              </w:rPr>
              <w:t>结构问题</w:t>
            </w:r>
          </w:p>
        </w:tc>
        <w:tc>
          <w:tcPr>
            <w:tcW w:type="dxa" w:w="27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7"/>
              </w:rPr>
              <w:t>训练能够改善什么</w:t>
            </w:r>
          </w:p>
        </w:tc>
        <w:tc>
          <w:tcPr>
            <w:tcW w:type="dxa" w:w="296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7"/>
              </w:rPr>
              <w:t>训练单独无法保证什么</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观测—表征</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决定性变量是否进入、保留、正确绑定并保持可用？</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压缩、抽取、工具使用和基于先验的推断。</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恢复所有可访问通道中都不存在的变量。</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状态</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系统是否知道自己处于哪个潜在世界或工作流状态？</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belief tracking 与状态推断。</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在观测相同、却要求相反行动的状态中同时正确。</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拟合边界</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能力是否恰好在其真实适用域内被激活？</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已知分布上的路由。</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在开放分布漂移和新边界出现时永久保持校准。</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支持</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已部署搜索是否能到达、保留并识别高价值结构？</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提高已知有用模式的概率质量。</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在有限搜索和预算下，为所有未来稀有结构提供充分支持。</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聚合</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局部合理部分能否组合成全局价值？</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更长推理、规划和回溯。</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在任意长、强耦合、价值不可局部分解的任务上消除承诺风险。</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规格</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可访问目标是否等于经过授权的真实效用？</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预测常见偏好和隐含规范。</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知道未表达、正在变化或依赖权威授权的效用。</w:t>
            </w:r>
          </w:p>
        </w:tc>
      </w:tr>
    </w:tbl>
    <w:p>
      <w:pPr>
        <w:spacing w:after="80"/>
      </w:pPr>
    </w:p>
    <w:p>
      <w:r>
        <w:rPr>
          <w:rFonts w:ascii="Calibri" w:hAnsi="Calibri" w:eastAsia="Microsoft YaHei"/>
          <w:b w:val="0"/>
          <w:color w:val="111111"/>
          <w:sz w:val="22"/>
        </w:rPr>
        <w:t>这个主张必须严格收边。它不是说每个具体失配实例都永远无法被训练解决。未来模型完全可以解决今天的 Benchmark、记忆今天的边界案例，或者把今天的 Audit 行为内化进权重。主张只是：解决一个固定实例，不等于从开放任务空间中消灭失败类别。</w:t>
      </w:r>
    </w:p>
    <w:p>
      <w:r>
        <w:rPr>
          <w:rFonts w:ascii="Calibri" w:hAnsi="Calibri" w:eastAsia="Microsoft YaHei"/>
          <w:b w:val="0"/>
          <w:color w:val="111111"/>
          <w:sz w:val="22"/>
        </w:rPr>
        <w:t>训练可以吸收治理</w:t>
      </w:r>
      <w:r>
        <w:rPr>
          <w:rFonts w:ascii="Calibri" w:hAnsi="Calibri" w:eastAsia="Microsoft YaHei"/>
          <w:b/>
          <w:color w:val="111111"/>
          <w:sz w:val="22"/>
        </w:rPr>
        <w:t>策略</w:t>
      </w:r>
      <w:r>
        <w:rPr>
          <w:rFonts w:ascii="Calibri" w:hAnsi="Calibri" w:eastAsia="Microsoft YaHei"/>
          <w:b w:val="0"/>
          <w:color w:val="111111"/>
          <w:sz w:val="22"/>
        </w:rPr>
        <w:t>，例如何时查询、验证、Patch 或升级；但它不能凭空创造缺失观测，不能把错误验证器变成真实 Oracle，不能让语言上下文获得外部系统的状态权威，不能替用户产生合法授权，也不能仅凭声明保证原子提交和回滚。无论产品把它们封装在外部 Scaffold 还是“模型原生 Runtime”里，这些治理</w:t>
      </w:r>
      <w:r>
        <w:rPr>
          <w:rFonts w:ascii="Calibri" w:hAnsi="Calibri" w:eastAsia="Microsoft YaHei"/>
          <w:b/>
          <w:color w:val="111111"/>
          <w:sz w:val="22"/>
        </w:rPr>
        <w:t>资源</w:t>
      </w:r>
      <w:r>
        <w:rPr>
          <w:rFonts w:ascii="Calibri" w:hAnsi="Calibri" w:eastAsia="Microsoft YaHei"/>
          <w:b w:val="0"/>
          <w:color w:val="111111"/>
          <w:sz w:val="22"/>
        </w:rPr>
        <w:t>和系统语义仍然存在。</w:t>
      </w:r>
    </w:p>
    <w:p>
      <w:pPr>
        <w:pStyle w:val="Heading1"/>
      </w:pPr>
      <w:r>
        <w:rPr>
          <w:rFonts w:ascii="Calibri" w:hAnsi="Calibri" w:eastAsia="Microsoft YaHei"/>
          <w:b/>
          <w:color w:val="2E74B5"/>
          <w:sz w:val="32"/>
        </w:rPr>
        <w:t>5. 六类失配支持的受控实验纲领</w:t>
      </w:r>
    </w:p>
    <w:p>
      <w:r>
        <w:rPr>
          <w:rFonts w:ascii="Calibri" w:hAnsi="Calibri" w:eastAsia="Microsoft YaHei"/>
          <w:b w:val="0"/>
          <w:color w:val="111111"/>
          <w:sz w:val="22"/>
        </w:rPr>
        <w:t>六类失配不仅是失败分类，也直接定义了实验操纵、中介变量、终点指标和证伪条件。下面每类实验都应使用成对任务种子、隔离环境、重复试验、固定预算，以及版本化的模型/Harness 合同。</w:t>
      </w:r>
    </w:p>
    <w:p>
      <w:pPr>
        <w:pStyle w:val="Heading2"/>
      </w:pPr>
      <w:r>
        <w:rPr>
          <w:rFonts w:ascii="Calibri" w:hAnsi="Calibri" w:eastAsia="Microsoft YaHei"/>
          <w:b/>
          <w:color w:val="1F4D78"/>
          <w:sz w:val="26"/>
        </w:rPr>
        <w:t>5.1 观测—表征失配：操纵信息通道，而不是只改答案 Prompt</w:t>
      </w:r>
    </w:p>
    <w:p>
      <w:r>
        <w:rPr>
          <w:rFonts w:ascii="Calibri" w:hAnsi="Calibri" w:eastAsia="Microsoft YaHei"/>
          <w:b/>
          <w:color w:val="111111"/>
          <w:sz w:val="22"/>
        </w:rPr>
        <w:t>问题。</w:t>
      </w:r>
      <w:r>
        <w:rPr>
          <w:rFonts w:ascii="Calibri" w:hAnsi="Calibri" w:eastAsia="Microsoft YaHei"/>
          <w:b w:val="0"/>
          <w:color w:val="111111"/>
          <w:sz w:val="22"/>
        </w:rPr>
        <w:t xml:space="preserve"> 补全或保留决定性变量后表现改善，究竟是因为可用信息增加，还是因为 Prompt 单纯变长？</w:t>
      </w:r>
    </w:p>
    <w:p>
      <w:r>
        <w:rPr>
          <w:rFonts w:ascii="Calibri" w:hAnsi="Calibri" w:eastAsia="Microsoft YaHei"/>
          <w:b/>
          <w:color w:val="111111"/>
          <w:sz w:val="22"/>
        </w:rPr>
        <w:t>设计。</w:t>
      </w:r>
      <w:r>
        <w:rPr>
          <w:rFonts w:ascii="Calibri" w:hAnsi="Calibri" w:eastAsia="Microsoft YaHei"/>
          <w:b w:val="0"/>
          <w:color w:val="111111"/>
          <w:sz w:val="22"/>
        </w:rPr>
        <w:t xml:space="preserve"> 构造表面完全相同、但某个隐藏变量会改变正确行动的成对任务。比较：（A）缺失或有损通道；（B）含决定性变量的通道；（C）等长度无关信息负对照；必要时再加入（D）变量存在但绑定到错误实体或时间戳。固定模型、动作接口、预算和验证器。</w:t>
      </w:r>
    </w:p>
    <w:p>
      <w:r>
        <w:rPr>
          <w:rFonts w:ascii="Calibri" w:hAnsi="Calibri" w:eastAsia="Microsoft YaHei"/>
          <w:b/>
          <w:color w:val="111111"/>
          <w:sz w:val="22"/>
        </w:rPr>
        <w:t>测量。</w:t>
      </w:r>
      <w:r>
        <w:rPr>
          <w:rFonts w:ascii="Calibri" w:hAnsi="Calibri" w:eastAsia="Microsoft YaHei"/>
          <w:b w:val="0"/>
          <w:color w:val="111111"/>
          <w:sz w:val="22"/>
        </w:rPr>
        <w:t xml:space="preserve"> 状态判别准确率、来源/绑定准确率、下游决策成功率、弃权质量、token 成本，以及从通道可用到正确行动的中介路径。</w:t>
      </w:r>
    </w:p>
    <w:p>
      <w:r>
        <w:rPr>
          <w:rFonts w:ascii="Calibri" w:hAnsi="Calibri" w:eastAsia="Microsoft YaHei"/>
          <w:b/>
          <w:color w:val="111111"/>
          <w:sz w:val="22"/>
        </w:rPr>
        <w:t>证伪。</w:t>
      </w:r>
      <w:r>
        <w:rPr>
          <w:rFonts w:ascii="Calibri" w:hAnsi="Calibri" w:eastAsia="Microsoft YaHei"/>
          <w:b w:val="0"/>
          <w:color w:val="111111"/>
          <w:sz w:val="22"/>
        </w:rPr>
        <w:t xml:space="preserve"> 如果相关信息与无关信息带来相同增益，或者 Agent 没有访问变量也能成功，就不能声称信息通道机制已经成立。</w:t>
      </w:r>
    </w:p>
    <w:p>
      <w:r>
        <w:rPr>
          <w:rFonts w:ascii="Calibri" w:hAnsi="Calibri" w:eastAsia="Microsoft YaHei"/>
          <w:b/>
          <w:color w:val="111111"/>
          <w:sz w:val="22"/>
        </w:rPr>
        <w:t>诊断边界。</w:t>
      </w:r>
      <w:r>
        <w:rPr>
          <w:rFonts w:ascii="Calibri" w:hAnsi="Calibri" w:eastAsia="Microsoft YaHei"/>
          <w:b w:val="0"/>
          <w:color w:val="111111"/>
          <w:sz w:val="22"/>
        </w:rPr>
        <w:t xml:space="preserve"> 只有当决定性变量在可访问表征中缺失、退化、未绑定、陈旧或不可用时，才使用这一标签。如果变量已经可用，但多个潜在状态仍然成立，主诊断应转向状态失配。</w:t>
      </w:r>
    </w:p>
    <w:p>
      <w:r>
        <w:rPr>
          <w:rFonts w:ascii="Calibri" w:hAnsi="Calibri" w:eastAsia="Microsoft YaHei"/>
          <w:b/>
          <w:color w:val="111111"/>
          <w:sz w:val="22"/>
        </w:rPr>
        <w:t>迁移。</w:t>
      </w:r>
      <w:r>
        <w:rPr>
          <w:rFonts w:ascii="Calibri" w:hAnsi="Calibri" w:eastAsia="Microsoft YaHei"/>
          <w:b w:val="0"/>
          <w:color w:val="111111"/>
          <w:sz w:val="22"/>
        </w:rPr>
        <w:t xml:space="preserve"> 跨模型代际提高损失严重度、时效要求、模态和上下文距离。真正可迁移的是通道条件和中介机制，而不是固定百分点。</w:t>
      </w:r>
    </w:p>
    <w:p>
      <w:pPr>
        <w:pStyle w:val="Heading2"/>
      </w:pPr>
      <w:r>
        <w:rPr>
          <w:rFonts w:ascii="Calibri" w:hAnsi="Calibri" w:eastAsia="Microsoft YaHei"/>
          <w:b/>
          <w:color w:val="1F4D78"/>
          <w:sz w:val="26"/>
        </w:rPr>
        <w:t>5.2 状态失配：把记忆中的叙事与权威状态分开</w:t>
      </w:r>
    </w:p>
    <w:p>
      <w:r>
        <w:rPr>
          <w:rFonts w:ascii="Calibri" w:hAnsi="Calibri" w:eastAsia="Microsoft YaHei"/>
          <w:b/>
          <w:color w:val="111111"/>
          <w:sz w:val="22"/>
        </w:rPr>
        <w:t>问题。</w:t>
      </w:r>
      <w:r>
        <w:rPr>
          <w:rFonts w:ascii="Calibri" w:hAnsi="Calibri" w:eastAsia="Microsoft YaHei"/>
          <w:b w:val="0"/>
          <w:color w:val="111111"/>
          <w:sz w:val="22"/>
        </w:rPr>
        <w:t xml:space="preserve"> 显式状态表面和转移合同，能否减少自然语言上下文无法可靠治理的错误？</w:t>
      </w:r>
    </w:p>
    <w:p>
      <w:r>
        <w:rPr>
          <w:rFonts w:ascii="Calibri" w:hAnsi="Calibri" w:eastAsia="Microsoft YaHei"/>
          <w:b/>
          <w:color w:val="111111"/>
          <w:sz w:val="22"/>
        </w:rPr>
        <w:t>设计。</w:t>
      </w:r>
      <w:r>
        <w:rPr>
          <w:rFonts w:ascii="Calibri" w:hAnsi="Calibri" w:eastAsia="Microsoft YaHei"/>
          <w:b w:val="0"/>
          <w:color w:val="111111"/>
          <w:sz w:val="22"/>
        </w:rPr>
        <w:t xml:space="preserve"> 构造对话历史相同、权威环境状态不同的 episode。交叉两个因素：状态来源（只有上下文 vs 可查询硬状态）与转移控制（自由动作 vs 带前置条件的类型化提交合同）。加入陈旧上下文和部分提交条件；每个 trial 使用干净环境。</w:t>
      </w:r>
    </w:p>
    <w:p>
      <w:r>
        <w:rPr>
          <w:rFonts w:ascii="Calibri" w:hAnsi="Calibri" w:eastAsia="Microsoft YaHei"/>
          <w:b/>
          <w:color w:val="111111"/>
          <w:sz w:val="22"/>
        </w:rPr>
        <w:t>测量。</w:t>
      </w:r>
      <w:r>
        <w:rPr>
          <w:rFonts w:ascii="Calibri" w:hAnsi="Calibri" w:eastAsia="Microsoft YaHei"/>
          <w:b w:val="0"/>
          <w:color w:val="111111"/>
          <w:sz w:val="22"/>
        </w:rPr>
        <w:t xml:space="preserve"> 非法状态转移率、虚假完成率、陈旧读取率、恢复成功率、回滚完整性，以及声称状态、验证状态和提交状态之间的一致性。</w:t>
      </w:r>
    </w:p>
    <w:p>
      <w:r>
        <w:rPr>
          <w:rFonts w:ascii="Calibri" w:hAnsi="Calibri" w:eastAsia="Microsoft YaHei"/>
          <w:b/>
          <w:color w:val="111111"/>
          <w:sz w:val="22"/>
        </w:rPr>
        <w:t>证伪。</w:t>
      </w:r>
      <w:r>
        <w:rPr>
          <w:rFonts w:ascii="Calibri" w:hAnsi="Calibri" w:eastAsia="Microsoft YaHei"/>
          <w:b w:val="0"/>
          <w:color w:val="111111"/>
          <w:sz w:val="22"/>
        </w:rPr>
        <w:t xml:space="preserve"> 如果硬状态访问不能提高状态判别，或者在上下文长度匹配后增益消失，状态权威机制就需要重写。</w:t>
      </w:r>
    </w:p>
    <w:p>
      <w:r>
        <w:rPr>
          <w:rFonts w:ascii="Calibri" w:hAnsi="Calibri" w:eastAsia="Microsoft YaHei"/>
          <w:b/>
          <w:color w:val="111111"/>
          <w:sz w:val="22"/>
        </w:rPr>
        <w:t>诊断边界。</w:t>
      </w:r>
      <w:r>
        <w:rPr>
          <w:rFonts w:ascii="Calibri" w:hAnsi="Calibri" w:eastAsia="Microsoft YaHei"/>
          <w:b w:val="0"/>
          <w:color w:val="111111"/>
          <w:sz w:val="22"/>
        </w:rPr>
        <w:t xml:space="preserve"> 权威状态必须能够通过某个合法通道获得。如果环境从未暴露它，上游失败是观测—表征失配；如果状态已经明确但系统仍选择非法动作，更接近的机制目标可能是动作或提交治理。</w:t>
      </w:r>
    </w:p>
    <w:p>
      <w:r>
        <w:rPr>
          <w:rFonts w:ascii="Calibri" w:hAnsi="Calibri" w:eastAsia="Microsoft YaHei"/>
          <w:b/>
          <w:color w:val="111111"/>
          <w:sz w:val="22"/>
        </w:rPr>
        <w:t>迁移。</w:t>
      </w:r>
      <w:r>
        <w:rPr>
          <w:rFonts w:ascii="Calibri" w:hAnsi="Calibri" w:eastAsia="Microsoft YaHei"/>
          <w:b w:val="0"/>
          <w:color w:val="111111"/>
          <w:sz w:val="22"/>
        </w:rPr>
        <w:t xml:space="preserve"> 从玩具状态机扩展到文件、数据库、工单、日历和多 Agent 所有权。强模型会更少犯错，但 belief 与 authority 的区分仍可持续复验。</w:t>
      </w:r>
    </w:p>
    <w:p>
      <w:pPr>
        <w:pStyle w:val="Heading2"/>
      </w:pPr>
      <w:r>
        <w:rPr>
          <w:rFonts w:ascii="Calibri" w:hAnsi="Calibri" w:eastAsia="Microsoft YaHei"/>
          <w:b/>
          <w:color w:val="1F4D78"/>
          <w:sz w:val="26"/>
        </w:rPr>
        <w:t>5.3 拟合边界失配：在边界网格上测量路由校准</w:t>
      </w:r>
    </w:p>
    <w:p>
      <w:r>
        <w:rPr>
          <w:rFonts w:ascii="Calibri" w:hAnsi="Calibri" w:eastAsia="Microsoft YaHei"/>
          <w:b/>
          <w:color w:val="111111"/>
          <w:sz w:val="22"/>
        </w:rPr>
        <w:t>问题。</w:t>
      </w:r>
      <w:r>
        <w:rPr>
          <w:rFonts w:ascii="Calibri" w:hAnsi="Calibri" w:eastAsia="Microsoft YaHei"/>
          <w:b w:val="0"/>
          <w:color w:val="111111"/>
          <w:sz w:val="22"/>
        </w:rPr>
        <w:t xml:space="preserve"> 能力失败是因为能力不存在，还是因为能力在错误体制下被激活或压制？</w:t>
      </w:r>
    </w:p>
    <w:p>
      <w:r>
        <w:rPr>
          <w:rFonts w:ascii="Calibri" w:hAnsi="Calibri" w:eastAsia="Microsoft YaHei"/>
          <w:b/>
          <w:color w:val="111111"/>
          <w:sz w:val="22"/>
        </w:rPr>
        <w:t>设计。</w:t>
      </w:r>
      <w:r>
        <w:rPr>
          <w:rFonts w:ascii="Calibri" w:hAnsi="Calibri" w:eastAsia="Microsoft YaHei"/>
          <w:b w:val="0"/>
          <w:color w:val="111111"/>
          <w:sz w:val="22"/>
        </w:rPr>
        <w:t xml:space="preserve"> 建立边界网格：明确域内、明确域外和渐进式近边界样本。比较无门控激活、学习路由器、证据条件化路由和类型化弃权/升级。固定底层 specialist，使实验研究路由而不是重新训练能力。</w:t>
      </w:r>
    </w:p>
    <w:p>
      <w:r>
        <w:rPr>
          <w:rFonts w:ascii="Calibri" w:hAnsi="Calibri" w:eastAsia="Microsoft YaHei"/>
          <w:b/>
          <w:color w:val="111111"/>
          <w:sz w:val="22"/>
        </w:rPr>
        <w:t>测量。</w:t>
      </w:r>
      <w:r>
        <w:rPr>
          <w:rFonts w:ascii="Calibri" w:hAnsi="Calibri" w:eastAsia="Microsoft YaHei"/>
          <w:b w:val="0"/>
          <w:color w:val="111111"/>
          <w:sz w:val="22"/>
        </w:rPr>
        <w:t xml:space="preserve"> 真/假激活率、selective risk、校准误差、非对称错误成本下的效用、覆盖率和 holdout 任务族上的边界漂移。</w:t>
      </w:r>
    </w:p>
    <w:p>
      <w:r>
        <w:rPr>
          <w:rFonts w:ascii="Calibri" w:hAnsi="Calibri" w:eastAsia="Microsoft YaHei"/>
          <w:b/>
          <w:color w:val="111111"/>
          <w:sz w:val="22"/>
        </w:rPr>
        <w:t>证伪。</w:t>
      </w:r>
      <w:r>
        <w:rPr>
          <w:rFonts w:ascii="Calibri" w:hAnsi="Calibri" w:eastAsia="Microsoft YaHei"/>
          <w:b w:val="0"/>
          <w:color w:val="111111"/>
          <w:sz w:val="22"/>
        </w:rPr>
        <w:t xml:space="preserve"> 如果 specialist 在目标域内本身就没有能力，路由干预不能获得功劳。Router 实验之前必须先做 Oracle capability test。</w:t>
      </w:r>
    </w:p>
    <w:p>
      <w:r>
        <w:rPr>
          <w:rFonts w:ascii="Calibri" w:hAnsi="Calibri" w:eastAsia="Microsoft YaHei"/>
          <w:b/>
          <w:color w:val="111111"/>
          <w:sz w:val="22"/>
        </w:rPr>
        <w:t>诊断边界。</w:t>
      </w:r>
      <w:r>
        <w:rPr>
          <w:rFonts w:ascii="Calibri" w:hAnsi="Calibri" w:eastAsia="Microsoft YaHei"/>
          <w:b w:val="0"/>
          <w:color w:val="111111"/>
          <w:sz w:val="22"/>
        </w:rPr>
        <w:t xml:space="preserve"> 拟合边界失配要求能力在 Oracle route 下能够在目标体制内成功。如果正确路由已经选中，高价值候选却仍很少出现，剩余瓶颈是支持而不是路由。</w:t>
      </w:r>
    </w:p>
    <w:p>
      <w:r>
        <w:rPr>
          <w:rFonts w:ascii="Calibri" w:hAnsi="Calibri" w:eastAsia="Microsoft YaHei"/>
          <w:b/>
          <w:color w:val="111111"/>
          <w:sz w:val="22"/>
        </w:rPr>
        <w:t>迁移。</w:t>
      </w:r>
      <w:r>
        <w:rPr>
          <w:rFonts w:ascii="Calibri" w:hAnsi="Calibri" w:eastAsia="Microsoft YaHei"/>
          <w:b w:val="0"/>
          <w:color w:val="111111"/>
          <w:sz w:val="22"/>
        </w:rPr>
        <w:t xml:space="preserve"> 在新任务族和新模型上重复。科学对象是触发证据、能力边界与错误成本之间的关系，而不是一个永久阈值。</w:t>
      </w:r>
    </w:p>
    <w:p>
      <w:pPr>
        <w:pStyle w:val="Heading2"/>
      </w:pPr>
      <w:r>
        <w:rPr>
          <w:rFonts w:ascii="Calibri" w:hAnsi="Calibri" w:eastAsia="Microsoft YaHei"/>
          <w:b/>
          <w:color w:val="1F4D78"/>
          <w:sz w:val="26"/>
        </w:rPr>
        <w:t>5.4 支持失配：比较控制空间搜索与输出空间重采样</w:t>
      </w:r>
    </w:p>
    <w:p>
      <w:r>
        <w:rPr>
          <w:rFonts w:ascii="Calibri" w:hAnsi="Calibri" w:eastAsia="Microsoft YaHei"/>
          <w:b/>
          <w:color w:val="111111"/>
          <w:sz w:val="22"/>
        </w:rPr>
        <w:t>问题。</w:t>
      </w:r>
      <w:r>
        <w:rPr>
          <w:rFonts w:ascii="Calibri" w:hAnsi="Calibri" w:eastAsia="Microsoft YaHei"/>
          <w:b w:val="0"/>
          <w:color w:val="111111"/>
          <w:sz w:val="22"/>
        </w:rPr>
        <w:t xml:space="preserve"> 高价值结构没有出现，是因为模型无法表达，还是因为已部署搜索流程很少到达、保留或识别它？</w:t>
      </w:r>
    </w:p>
    <w:p>
      <w:r>
        <w:rPr>
          <w:rFonts w:ascii="Calibri" w:hAnsi="Calibri" w:eastAsia="Microsoft YaHei"/>
          <w:b/>
          <w:color w:val="111111"/>
          <w:sz w:val="22"/>
        </w:rPr>
        <w:t>设计。</w:t>
      </w:r>
      <w:r>
        <w:rPr>
          <w:rFonts w:ascii="Calibri" w:hAnsi="Calibri" w:eastAsia="Microsoft YaHei"/>
          <w:b w:val="0"/>
          <w:color w:val="111111"/>
          <w:sz w:val="22"/>
        </w:rPr>
        <w:t xml:space="preserve"> 在 token 和调用预算匹配下，比较直接生成、独立 best-of-\(N\)、批评后重生成，以及改变分解、表示、约束、候选拓扑或确定性算子的控制空间干预。加入 Oracle candidate 条件，检验正确候选一旦出现，验证器是否能够识别。</w:t>
      </w:r>
    </w:p>
    <w:p>
      <w:r>
        <w:rPr>
          <w:rFonts w:ascii="Calibri" w:hAnsi="Calibri" w:eastAsia="Microsoft YaHei"/>
          <w:b/>
          <w:color w:val="111111"/>
          <w:sz w:val="22"/>
        </w:rPr>
        <w:t>测量。</w:t>
      </w:r>
      <w:r>
        <w:rPr>
          <w:rFonts w:ascii="Calibri" w:hAnsi="Calibri" w:eastAsia="Microsoft YaHei"/>
          <w:b w:val="0"/>
          <w:color w:val="111111"/>
          <w:sz w:val="22"/>
        </w:rPr>
        <w:t xml:space="preserve"> 至少出现一个有效高价值结构的概率、首次覆盖时间、结构多样性、剪枝后的保留率、验证器 recall、找到的最佳效用和每 token 边际价值。</w:t>
      </w:r>
    </w:p>
    <w:p>
      <w:r>
        <w:rPr>
          <w:rFonts w:ascii="Calibri" w:hAnsi="Calibri" w:eastAsia="Microsoft YaHei"/>
          <w:b/>
          <w:color w:val="111111"/>
          <w:sz w:val="22"/>
        </w:rPr>
        <w:t>证伪。</w:t>
      </w:r>
      <w:r>
        <w:rPr>
          <w:rFonts w:ascii="Calibri" w:hAnsi="Calibri" w:eastAsia="Microsoft YaHei"/>
          <w:b w:val="0"/>
          <w:color w:val="111111"/>
          <w:sz w:val="22"/>
        </w:rPr>
        <w:t xml:space="preserve"> 如果 Oracle candidate 持续被拒绝，瓶颈可能是识别或规格，而不是支持；如果更多独立样本能在匹配成本下闭合差距，专用控制空间机制尚未证明其复杂度合理。</w:t>
      </w:r>
    </w:p>
    <w:p>
      <w:r>
        <w:rPr>
          <w:rFonts w:ascii="Calibri" w:hAnsi="Calibri" w:eastAsia="Microsoft YaHei"/>
          <w:b/>
          <w:color w:val="111111"/>
          <w:sz w:val="22"/>
        </w:rPr>
        <w:t>诊断边界。</w:t>
      </w:r>
      <w:r>
        <w:rPr>
          <w:rFonts w:ascii="Calibri" w:hAnsi="Calibri" w:eastAsia="Microsoft YaHei"/>
          <w:b w:val="0"/>
          <w:color w:val="111111"/>
          <w:sz w:val="22"/>
        </w:rPr>
        <w:t xml:space="preserve"> 支持失配是可达性或保留失败。如果所需局部结构稳定出现，却在组合时失败，主失败已经下移到聚合。</w:t>
      </w:r>
    </w:p>
    <w:p>
      <w:r>
        <w:rPr>
          <w:rFonts w:ascii="Calibri" w:hAnsi="Calibri" w:eastAsia="Microsoft YaHei"/>
          <w:b/>
          <w:color w:val="111111"/>
          <w:sz w:val="22"/>
        </w:rPr>
        <w:t>迁移。</w:t>
      </w:r>
      <w:r>
        <w:rPr>
          <w:rFonts w:ascii="Calibri" w:hAnsi="Calibri" w:eastAsia="Microsoft YaHei"/>
          <w:b w:val="0"/>
          <w:color w:val="111111"/>
          <w:sz w:val="22"/>
        </w:rPr>
        <w:t xml:space="preserve"> 改变稀有度、组合深度和搜索预算。预期 crossover 是关键：只有朴素有效支持足够低时，控制空间搜索才应显示最大价值。</w:t>
      </w:r>
    </w:p>
    <w:p>
      <w:pPr>
        <w:pStyle w:val="Heading2"/>
      </w:pPr>
      <w:r>
        <w:rPr>
          <w:rFonts w:ascii="Calibri" w:hAnsi="Calibri" w:eastAsia="Microsoft YaHei"/>
          <w:b/>
          <w:color w:val="1F4D78"/>
          <w:sz w:val="26"/>
        </w:rPr>
        <w:t>5.5 聚合失配：操纵耦合强度与承诺面</w:t>
      </w:r>
    </w:p>
    <w:p>
      <w:r>
        <w:rPr>
          <w:rFonts w:ascii="Calibri" w:hAnsi="Calibri" w:eastAsia="Microsoft YaHei"/>
          <w:b/>
          <w:color w:val="111111"/>
          <w:sz w:val="22"/>
        </w:rPr>
        <w:t>问题。</w:t>
      </w:r>
      <w:r>
        <w:rPr>
          <w:rFonts w:ascii="Calibri" w:hAnsi="Calibri" w:eastAsia="Microsoft YaHei"/>
          <w:b w:val="0"/>
          <w:color w:val="111111"/>
          <w:sz w:val="22"/>
        </w:rPr>
        <w:t xml:space="preserve"> 当正确局部片段已经存在，什么运行时结构能保留它们，同时形成全局合法对象或轨迹？</w:t>
      </w:r>
    </w:p>
    <w:p>
      <w:r>
        <w:rPr>
          <w:rFonts w:ascii="Calibri" w:hAnsi="Calibri" w:eastAsia="Microsoft YaHei"/>
          <w:b/>
          <w:color w:val="111111"/>
          <w:sz w:val="22"/>
        </w:rPr>
        <w:t>设计。</w:t>
      </w:r>
      <w:r>
        <w:rPr>
          <w:rFonts w:ascii="Calibri" w:hAnsi="Calibri" w:eastAsia="Microsoft YaHei"/>
          <w:b w:val="0"/>
          <w:color w:val="111111"/>
          <w:sz w:val="22"/>
        </w:rPr>
        <w:t xml:space="preserve"> 交叉任务耦合度（独立到全局依赖）、编辑密度（稀疏到稠密）、交付接口（Patch vs Full Rewrite）和修复 horizon（局部 Step vs 完整 Stage replan）。当研究交付机制时，固定计划、源对象、验证器、模型和预算；当研究规划时，再单独操纵规划。加入确定性执行器和纯复制对照。</w:t>
      </w:r>
    </w:p>
    <w:p>
      <w:r>
        <w:rPr>
          <w:rFonts w:ascii="Calibri" w:hAnsi="Calibri" w:eastAsia="Microsoft YaHei"/>
          <w:b/>
          <w:color w:val="111111"/>
          <w:sz w:val="22"/>
        </w:rPr>
        <w:t>测量。</w:t>
      </w:r>
      <w:r>
        <w:rPr>
          <w:rFonts w:ascii="Calibri" w:hAnsi="Calibri" w:eastAsia="Microsoft YaHei"/>
          <w:b w:val="0"/>
          <w:color w:val="111111"/>
          <w:sz w:val="22"/>
        </w:rPr>
        <w:t xml:space="preserve"> 全局不变量满足率、未修改区域保留率、冲突率、错误传播深度、预算内严格成功率、恢复成本，以及 Patch/Rewrite、Step/Stage 的 crossover。</w:t>
      </w:r>
    </w:p>
    <w:p>
      <w:r>
        <w:rPr>
          <w:rFonts w:ascii="Calibri" w:hAnsi="Calibri" w:eastAsia="Microsoft YaHei"/>
          <w:b/>
          <w:color w:val="111111"/>
          <w:sz w:val="22"/>
        </w:rPr>
        <w:t>证伪。</w:t>
      </w:r>
      <w:r>
        <w:rPr>
          <w:rFonts w:ascii="Calibri" w:hAnsi="Calibri" w:eastAsia="Microsoft YaHei"/>
          <w:b w:val="0"/>
          <w:color w:val="111111"/>
          <w:sz w:val="22"/>
        </w:rPr>
        <w:t xml:space="preserve"> 稀疏修改中的 Patch 优势不证明 Patch 普遍更好。如果在正确计划和预算匹配后优势消失，早期结果很可能混入了规划或资源差异。仓库内的 </w:t>
      </w:r>
      <w:hyperlink r:id="rId25">
        <w:r>
          <w:rPr>
            <w:rFonts w:ascii="Calibri" w:hAnsi="Calibri" w:eastAsia="Microsoft YaHei"/>
            <w:color w:val="2E74B5"/>
            <w:u w:val="single"/>
          </w:rPr>
          <w:t>Patch vs Full Rewrite 受控实验</w:t>
        </w:r>
      </w:hyperlink>
      <w:r>
        <w:rPr>
          <w:rFonts w:ascii="Calibri" w:hAnsi="Calibri" w:eastAsia="Microsoft YaHei"/>
          <w:b w:val="0"/>
          <w:color w:val="111111"/>
          <w:sz w:val="22"/>
        </w:rPr>
        <w:t xml:space="preserve"> 展示了如何用 Oracle plan、Copy 与独立预算对照收紧主张。</w:t>
      </w:r>
    </w:p>
    <w:p>
      <w:r>
        <w:rPr>
          <w:rFonts w:ascii="Calibri" w:hAnsi="Calibri" w:eastAsia="Microsoft YaHei"/>
          <w:b/>
          <w:color w:val="111111"/>
          <w:sz w:val="22"/>
        </w:rPr>
        <w:t>诊断边界。</w:t>
      </w:r>
      <w:r>
        <w:rPr>
          <w:rFonts w:ascii="Calibri" w:hAnsi="Calibri" w:eastAsia="Microsoft YaHei"/>
          <w:b w:val="0"/>
          <w:color w:val="111111"/>
          <w:sz w:val="22"/>
        </w:rPr>
        <w:t xml:space="preserve"> 聚合失配预设系统已经拥有可用的局部片段、约束或证据，但组合过程没有保留它们。如果这些片段从未进入候选集，上游瓶颈是支持；如果系统优化了错误的全局标准，则是规格。</w:t>
      </w:r>
    </w:p>
    <w:p>
      <w:r>
        <w:rPr>
          <w:rFonts w:ascii="Calibri" w:hAnsi="Calibri" w:eastAsia="Microsoft YaHei"/>
          <w:b/>
          <w:color w:val="111111"/>
          <w:sz w:val="22"/>
        </w:rPr>
        <w:t>迁移。</w:t>
      </w:r>
      <w:r>
        <w:rPr>
          <w:rFonts w:ascii="Calibri" w:hAnsi="Calibri" w:eastAsia="Microsoft YaHei"/>
          <w:b w:val="0"/>
          <w:color w:val="111111"/>
          <w:sz w:val="22"/>
        </w:rPr>
        <w:t xml:space="preserve"> 跨 artifact 类型、模型族和耦合尺度复验。即使经验效应变化，程序语义仍能保持结构不变量：标准 Patch 不会重新承诺未修改区域。</w:t>
      </w:r>
    </w:p>
    <w:p>
      <w:pPr>
        <w:pStyle w:val="Heading2"/>
      </w:pPr>
      <w:r>
        <w:rPr>
          <w:rFonts w:ascii="Calibri" w:hAnsi="Calibri" w:eastAsia="Microsoft YaHei"/>
          <w:b/>
          <w:color w:val="1F4D78"/>
          <w:sz w:val="26"/>
        </w:rPr>
        <w:t>5.6 规格失配：操纵目标信息与授权权威</w:t>
      </w:r>
    </w:p>
    <w:p>
      <w:r>
        <w:rPr>
          <w:rFonts w:ascii="Calibri" w:hAnsi="Calibri" w:eastAsia="Microsoft YaHei"/>
          <w:b/>
          <w:color w:val="111111"/>
          <w:sz w:val="22"/>
        </w:rPr>
        <w:t>问题。</w:t>
      </w:r>
      <w:r>
        <w:rPr>
          <w:rFonts w:ascii="Calibri" w:hAnsi="Calibri" w:eastAsia="Microsoft YaHei"/>
          <w:b w:val="0"/>
          <w:color w:val="111111"/>
          <w:sz w:val="22"/>
        </w:rPr>
        <w:t xml:space="preserve"> Agent 失败是因为不会优化，还是因为可访问目标偏离了用户授权的真实效用？</w:t>
      </w:r>
    </w:p>
    <w:p>
      <w:r>
        <w:rPr>
          <w:rFonts w:ascii="Calibri" w:hAnsi="Calibri" w:eastAsia="Microsoft YaHei"/>
          <w:b/>
          <w:color w:val="111111"/>
          <w:sz w:val="22"/>
        </w:rPr>
        <w:t>设计。</w:t>
      </w:r>
      <w:r>
        <w:rPr>
          <w:rFonts w:ascii="Calibri" w:hAnsi="Calibri" w:eastAsia="Microsoft YaHei"/>
          <w:b w:val="0"/>
          <w:color w:val="111111"/>
          <w:sz w:val="22"/>
        </w:rPr>
        <w:t xml:space="preserve"> 构造同一 Prompt 同时兼容多个合理效用、且不同效用要求相反行动的任务。交叉目标条件（只有代理目标、显式偏好、反例增强规格）与权威条件（无权威、授权用户信号、强制人工 Gate）。在 episode 中加入目标漂移和可被投机的评分器。</w:t>
      </w:r>
    </w:p>
    <w:p>
      <w:r>
        <w:rPr>
          <w:rFonts w:ascii="Calibri" w:hAnsi="Calibri" w:eastAsia="Microsoft YaHei"/>
          <w:b/>
          <w:color w:val="111111"/>
          <w:sz w:val="22"/>
        </w:rPr>
        <w:t>测量。</w:t>
      </w:r>
      <w:r>
        <w:rPr>
          <w:rFonts w:ascii="Calibri" w:hAnsi="Calibri" w:eastAsia="Microsoft YaHei"/>
          <w:b w:val="0"/>
          <w:color w:val="111111"/>
          <w:sz w:val="22"/>
        </w:rPr>
        <w:t xml:space="preserve"> 授权效用 regret、代理/真实目标偏差、不安全提交率、升级 precision/recall、对偏好更新的响应，以及抵抗评价器漏洞的能力。</w:t>
      </w:r>
    </w:p>
    <w:p>
      <w:r>
        <w:rPr>
          <w:rFonts w:ascii="Calibri" w:hAnsi="Calibri" w:eastAsia="Microsoft YaHei"/>
          <w:b/>
          <w:color w:val="111111"/>
          <w:sz w:val="22"/>
        </w:rPr>
        <w:t>证伪。</w:t>
      </w:r>
      <w:r>
        <w:rPr>
          <w:rFonts w:ascii="Calibri" w:hAnsi="Calibri" w:eastAsia="Microsoft YaHei"/>
          <w:b w:val="0"/>
          <w:color w:val="111111"/>
          <w:sz w:val="22"/>
        </w:rPr>
        <w:t xml:space="preserve"> 如果“真实”效用仍由同一个模型 Judge 推断，实验就没有逃离规格失配。必须使用高保真人类、可执行或制度上经过授权的 Oracle。</w:t>
      </w:r>
    </w:p>
    <w:p>
      <w:r>
        <w:rPr>
          <w:rFonts w:ascii="Calibri" w:hAnsi="Calibri" w:eastAsia="Microsoft YaHei"/>
          <w:b/>
          <w:color w:val="111111"/>
          <w:sz w:val="22"/>
        </w:rPr>
        <w:t>诊断边界。</w:t>
      </w:r>
      <w:r>
        <w:rPr>
          <w:rFonts w:ascii="Calibri" w:hAnsi="Calibri" w:eastAsia="Microsoft YaHei"/>
          <w:b w:val="0"/>
          <w:color w:val="111111"/>
          <w:sz w:val="22"/>
        </w:rPr>
        <w:t xml:space="preserve"> 规格失配研究目标本身或其授权。如果经过授权的目标已经明确，而系统仍无法产生合格候选，当前瓶颈更可能是支持、聚合或能力。</w:t>
      </w:r>
    </w:p>
    <w:p>
      <w:r>
        <w:rPr>
          <w:rFonts w:ascii="Calibri" w:hAnsi="Calibri" w:eastAsia="Microsoft YaHei"/>
          <w:b/>
          <w:color w:val="111111"/>
          <w:sz w:val="22"/>
        </w:rPr>
        <w:t>迁移。</w:t>
      </w:r>
      <w:r>
        <w:rPr>
          <w:rFonts w:ascii="Calibri" w:hAnsi="Calibri" w:eastAsia="Microsoft YaHei"/>
          <w:b w:val="0"/>
          <w:color w:val="111111"/>
          <w:sz w:val="22"/>
        </w:rPr>
        <w:t xml:space="preserve"> 更换领域、利益相关者和授权结构。模型会越来越善于预测偏好，但当授权本身属于任务语义时，预测仍然不能代替授权。</w:t>
      </w:r>
    </w:p>
    <w:p>
      <w:pPr>
        <w:pStyle w:val="Heading1"/>
      </w:pPr>
      <w:r>
        <w:rPr>
          <w:rFonts w:ascii="Calibri" w:hAnsi="Calibri" w:eastAsia="Microsoft YaHei"/>
          <w:b/>
          <w:color w:val="2E74B5"/>
          <w:sz w:val="32"/>
        </w:rPr>
        <w:t>6. 最小实验合同</w:t>
      </w:r>
    </w:p>
    <w:p>
      <w:r>
        <w:rPr>
          <w:rFonts w:ascii="Calibri" w:hAnsi="Calibri" w:eastAsia="Microsoft YaHei"/>
          <w:b w:val="0"/>
          <w:color w:val="111111"/>
          <w:sz w:val="22"/>
        </w:rPr>
        <w:t>可信的 Agent 实验必须公开足够信息，使别人能够重建干预、机会集合和结果权威。</w:t>
      </w:r>
    </w:p>
    <w:p>
      <w:pPr>
        <w:pStyle w:val="Heading2"/>
      </w:pPr>
      <w:r>
        <w:rPr>
          <w:rFonts w:ascii="Calibri" w:hAnsi="Calibri" w:eastAsia="Microsoft YaHei"/>
          <w:b/>
          <w:color w:val="1F4D78"/>
          <w:sz w:val="26"/>
        </w:rPr>
        <w:t>6.1 先定义估计对象，再运行系统</w:t>
      </w:r>
    </w:p>
    <w:p>
      <w:r>
        <w:rPr>
          <w:rFonts w:ascii="Calibri" w:hAnsi="Calibri" w:eastAsia="Microsoft YaHei"/>
          <w:b w:val="0"/>
          <w:color w:val="111111"/>
          <w:sz w:val="22"/>
        </w:rPr>
        <w:t>设治理干预 \(g\) 相对基线 \(h_0\) 的效应为：</w:t>
      </w:r>
    </w:p>
    <w:p>
      <w:pPr>
        <w:spacing w:before="100" w:after="180"/>
        <w:jc w:val="center"/>
      </w:pPr>
      <w:r>
        <w:rPr>
          <w:rFonts w:ascii="Cambria Math" w:hAnsi="Cambria Math" w:eastAsia="Microsoft YaHei"/>
          <w:color w:val="0B2545"/>
          <w:sz w:val="21"/>
        </w:rPr>
        <w:t>\Delta_g(\theta,D,b)</w:t>
      </w:r>
      <w:r>
        <w:br/>
      </w:r>
      <w:r>
        <w:rPr>
          <w:rFonts w:ascii="Cambria Math" w:hAnsi="Cambria Math" w:eastAsia="Microsoft YaHei"/>
          <w:color w:val="0B2545"/>
          <w:sz w:val="21"/>
        </w:rPr>
        <w:t>=</w:t>
      </w:r>
      <w:r>
        <w:br/>
      </w:r>
      <w:r>
        <w:rPr>
          <w:rFonts w:ascii="Cambria Math" w:hAnsi="Cambria Math" w:eastAsia="Microsoft YaHei"/>
          <w:color w:val="0B2545"/>
          <w:sz w:val="21"/>
        </w:rPr>
        <w:t>\mathbb{E}[J\mid \theta,g,D,b]</w:t>
      </w:r>
      <w:r>
        <w:br/>
      </w:r>
      <w:r>
        <w:rPr>
          <w:rFonts w:ascii="Cambria Math" w:hAnsi="Cambria Math" w:eastAsia="Microsoft YaHei"/>
          <w:color w:val="0B2545"/>
          <w:sz w:val="21"/>
        </w:rPr>
        <w:t>-</w:t>
      </w:r>
      <w:r>
        <w:br/>
      </w:r>
      <w:r>
        <w:rPr>
          <w:rFonts w:ascii="Cambria Math" w:hAnsi="Cambria Math" w:eastAsia="Microsoft YaHei"/>
          <w:color w:val="0B2545"/>
          <w:sz w:val="21"/>
        </w:rPr>
        <w:t>\mathbb{E}[J\mid \theta,h_0,D,b].</w:t>
      </w:r>
    </w:p>
    <w:p>
      <w:r>
        <w:rPr>
          <w:rFonts w:ascii="Calibri" w:hAnsi="Calibri" w:eastAsia="Microsoft YaHei"/>
          <w:b w:val="0"/>
          <w:color w:val="111111"/>
          <w:sz w:val="22"/>
        </w:rPr>
        <w:t>然后明确 claim ceiling：实验估计的是产品级总效应、机制中介效应、交互项、边界阈值，还是迁移效应？它们不能互相替代。</w:t>
      </w:r>
    </w:p>
    <w:p>
      <w:r>
        <w:rPr>
          <w:rFonts w:ascii="Calibri" w:hAnsi="Calibri" w:eastAsia="Microsoft YaHei"/>
          <w:b w:val="0"/>
          <w:color w:val="111111"/>
          <w:sz w:val="22"/>
        </w:rPr>
        <w:t>只有当处理组之间确实只在声明的操纵上不同，且终点测量不受 treatment-dependent bias 影响时，因果语言才成立。工具、机会、超时或评分中未记录的组间差异，即使在 p 值很小时也仍然是替代解释。</w:t>
      </w:r>
    </w:p>
    <w:p>
      <w:pPr>
        <w:pStyle w:val="Heading2"/>
      </w:pPr>
      <w:r>
        <w:rPr>
          <w:rFonts w:ascii="Calibri" w:hAnsi="Calibri" w:eastAsia="Microsoft YaHei"/>
          <w:b/>
          <w:color w:val="1F4D78"/>
          <w:sz w:val="26"/>
        </w:rPr>
        <w:t>6.2 冻结可比性合同</w:t>
      </w:r>
    </w:p>
    <w:p>
      <w:r>
        <w:rPr>
          <w:rFonts w:ascii="Calibri" w:hAnsi="Calibri" w:eastAsia="Microsoft YaHei"/>
          <w:b w:val="0"/>
          <w:color w:val="111111"/>
          <w:sz w:val="22"/>
        </w:rPr>
        <w:t>版本化并公开：</w:t>
      </w:r>
    </w:p>
    <w:p>
      <w:pPr>
        <w:spacing w:before="0" w:after="80" w:line="290" w:lineRule="auto"/>
        <w:numPr>
          <w:ilvl w:val="0"/>
          <w:numId w:val="12"/>
        </w:numPr>
      </w:pPr>
      <w:r>
        <w:rPr>
          <w:rFonts w:ascii="Calibri" w:hAnsi="Calibri" w:eastAsia="Microsoft YaHei"/>
          <w:b w:val="0"/>
          <w:color w:val="111111"/>
          <w:sz w:val="21"/>
        </w:rPr>
        <w:t>模型标识、endpoint、解码设置和日期；</w:t>
      </w:r>
    </w:p>
    <w:p>
      <w:pPr>
        <w:spacing w:before="0" w:after="80" w:line="290" w:lineRule="auto"/>
        <w:numPr>
          <w:ilvl w:val="0"/>
          <w:numId w:val="12"/>
        </w:numPr>
      </w:pPr>
      <w:r>
        <w:rPr>
          <w:rFonts w:ascii="Calibri" w:hAnsi="Calibri" w:eastAsia="Microsoft YaHei"/>
          <w:b w:val="0"/>
          <w:color w:val="111111"/>
          <w:sz w:val="21"/>
        </w:rPr>
        <w:t>完整 Harness 与 Prompt 状态；</w:t>
      </w:r>
    </w:p>
    <w:p>
      <w:pPr>
        <w:spacing w:before="0" w:after="80" w:line="290" w:lineRule="auto"/>
        <w:numPr>
          <w:ilvl w:val="0"/>
          <w:numId w:val="12"/>
        </w:numPr>
      </w:pPr>
      <w:r>
        <w:rPr>
          <w:rFonts w:ascii="Calibri" w:hAnsi="Calibri" w:eastAsia="Microsoft YaHei"/>
          <w:b w:val="0"/>
          <w:color w:val="111111"/>
          <w:sz w:val="21"/>
        </w:rPr>
        <w:t>工具、权限、环境镜像、初始状态和网络策略；</w:t>
      </w:r>
    </w:p>
    <w:p>
      <w:pPr>
        <w:spacing w:before="0" w:after="80" w:line="290" w:lineRule="auto"/>
        <w:numPr>
          <w:ilvl w:val="0"/>
          <w:numId w:val="12"/>
        </w:numPr>
      </w:pPr>
      <w:r>
        <w:rPr>
          <w:rFonts w:ascii="Calibri" w:hAnsi="Calibri" w:eastAsia="Microsoft YaHei"/>
          <w:b w:val="0"/>
          <w:color w:val="111111"/>
          <w:sz w:val="21"/>
        </w:rPr>
        <w:t>token、调用、wall-clock、金钱和重试预算；</w:t>
      </w:r>
    </w:p>
    <w:p>
      <w:pPr>
        <w:spacing w:before="0" w:after="80" w:line="290" w:lineRule="auto"/>
        <w:numPr>
          <w:ilvl w:val="0"/>
          <w:numId w:val="12"/>
        </w:numPr>
      </w:pPr>
      <w:r>
        <w:rPr>
          <w:rFonts w:ascii="Calibri" w:hAnsi="Calibri" w:eastAsia="Microsoft YaHei"/>
          <w:b w:val="0"/>
          <w:color w:val="111111"/>
          <w:sz w:val="21"/>
        </w:rPr>
        <w:t>任务抽样和 holdout 构造；</w:t>
      </w:r>
    </w:p>
    <w:p>
      <w:pPr>
        <w:spacing w:before="0" w:after="80" w:line="290" w:lineRule="auto"/>
        <w:numPr>
          <w:ilvl w:val="0"/>
          <w:numId w:val="12"/>
        </w:numPr>
      </w:pPr>
      <w:r>
        <w:rPr>
          <w:rFonts w:ascii="Calibri" w:hAnsi="Calibri" w:eastAsia="Microsoft YaHei"/>
          <w:b w:val="0"/>
          <w:color w:val="111111"/>
          <w:sz w:val="21"/>
        </w:rPr>
        <w:t>验证器代码、结果状态 Oracle 和评分器版本；</w:t>
      </w:r>
    </w:p>
    <w:p>
      <w:pPr>
        <w:spacing w:before="0" w:after="80" w:line="290" w:lineRule="auto"/>
        <w:numPr>
          <w:ilvl w:val="0"/>
          <w:numId w:val="12"/>
        </w:numPr>
      </w:pPr>
      <w:r>
        <w:rPr>
          <w:rFonts w:ascii="Calibri" w:hAnsi="Calibri" w:eastAsia="Microsoft YaHei"/>
          <w:b w:val="0"/>
          <w:color w:val="111111"/>
          <w:sz w:val="21"/>
        </w:rPr>
        <w:t>停止、超时、失败和排除规则。</w:t>
      </w:r>
    </w:p>
    <w:p>
      <w:r>
        <w:rPr>
          <w:rFonts w:ascii="Calibri" w:hAnsi="Calibri" w:eastAsia="Microsoft YaHei"/>
          <w:b w:val="0"/>
          <w:color w:val="111111"/>
          <w:sz w:val="22"/>
        </w:rPr>
        <w:t>看到结果后再改变其中一项，意味着开始了新实验，而不是做了一个无害实现调整。</w:t>
      </w:r>
    </w:p>
    <w:p>
      <w:pPr>
        <w:pStyle w:val="Heading2"/>
      </w:pPr>
      <w:r>
        <w:rPr>
          <w:rFonts w:ascii="Calibri" w:hAnsi="Calibri" w:eastAsia="Microsoft YaHei"/>
          <w:b/>
          <w:color w:val="1F4D78"/>
          <w:sz w:val="26"/>
        </w:rPr>
        <w:t>6.3 优先使用成对、分块和全因子设计</w:t>
      </w:r>
    </w:p>
    <w:p>
      <w:r>
        <w:rPr>
          <w:rFonts w:ascii="Calibri" w:hAnsi="Calibri" w:eastAsia="Microsoft YaHei"/>
          <w:b w:val="0"/>
          <w:color w:val="111111"/>
          <w:sz w:val="22"/>
        </w:rPr>
        <w:t>在相同任务种子和初始状态上运行 treatment 与 control。按已知难度、领域和失配剂量分块；随机化顺序并隔离 trial。组件存在潜在交互时，使用全因子或部分因子设计，而不是一串互不相干的单次消融。复合 Agent 系统中，不含交互的主效应尤其危险。</w:t>
      </w:r>
    </w:p>
    <w:p>
      <w:pPr>
        <w:pStyle w:val="Heading2"/>
      </w:pPr>
      <w:r>
        <w:rPr>
          <w:rFonts w:ascii="Calibri" w:hAnsi="Calibri" w:eastAsia="Microsoft YaHei"/>
          <w:b/>
          <w:color w:val="1F4D78"/>
          <w:sz w:val="26"/>
        </w:rPr>
        <w:t>6.4 重复随机试验，并建模层级结构</w:t>
      </w:r>
    </w:p>
    <w:p>
      <w:r>
        <w:rPr>
          <w:rFonts w:ascii="Calibri" w:hAnsi="Calibri" w:eastAsia="Microsoft YaHei"/>
          <w:b w:val="0"/>
          <w:color w:val="111111"/>
          <w:sz w:val="22"/>
        </w:rPr>
        <w:t>单次生成会低估不确定性。重复试验应分离任务族、任务、种子、模型采样和基础设施的方差。报告效应量与置信区间或可信区间，而不只给点估计。任务与运行嵌套时使用分层或混合效应模型，并对确认性多重比较做校正。</w:t>
      </w:r>
    </w:p>
    <w:p>
      <w:r>
        <w:rPr>
          <w:rFonts w:ascii="Calibri" w:hAnsi="Calibri" w:eastAsia="Microsoft YaHei"/>
          <w:b w:val="0"/>
          <w:color w:val="111111"/>
          <w:sz w:val="22"/>
        </w:rPr>
        <w:t>围绕最小重要效应预先进行功效或精度分析，并预定义超时、无效运行、Provider 错误和提前停止如何进入估计对象。反复查看结果并持续加跑直到显著，会破坏普通确认性区间的有效性，除非事先声明了序贯设计。</w:t>
      </w:r>
    </w:p>
    <w:p>
      <w:pPr>
        <w:pStyle w:val="Heading2"/>
      </w:pPr>
      <w:r>
        <w:rPr>
          <w:rFonts w:ascii="Calibri" w:hAnsi="Calibri" w:eastAsia="Microsoft YaHei"/>
          <w:b/>
          <w:color w:val="1F4D78"/>
          <w:sz w:val="26"/>
        </w:rPr>
        <w:t>6.5 匹配预算与机会，而不只是 Prompt</w:t>
      </w:r>
    </w:p>
    <w:p>
      <w:r>
        <w:rPr>
          <w:rFonts w:ascii="Calibri" w:hAnsi="Calibri" w:eastAsia="Microsoft YaHei"/>
          <w:b w:val="0"/>
          <w:color w:val="111111"/>
          <w:sz w:val="22"/>
        </w:rPr>
        <w:t>两个 Prompt 相同，不代表 treatment 相同：一侧可能获得更多工具调用、更长 wall-clock、额外重试、更丰富动作空间或更强验证器。实验必须同时公开资源消耗和机会表面。无法严格匹配时，应估计预算—成功曲线，并在等成本或等风险条件下比较。</w:t>
      </w:r>
    </w:p>
    <w:p>
      <w:pPr>
        <w:pStyle w:val="Heading2"/>
      </w:pPr>
      <w:r>
        <w:rPr>
          <w:rFonts w:ascii="Calibri" w:hAnsi="Calibri" w:eastAsia="Microsoft YaHei"/>
          <w:b/>
          <w:color w:val="1F4D78"/>
          <w:sz w:val="26"/>
        </w:rPr>
        <w:t>6.6 评价环境结果与轨迹</w:t>
      </w:r>
    </w:p>
    <w:p>
      <w:r>
        <w:rPr>
          <w:rFonts w:ascii="Calibri" w:hAnsi="Calibri" w:eastAsia="Microsoft YaHei"/>
          <w:b w:val="0"/>
          <w:color w:val="111111"/>
          <w:sz w:val="22"/>
        </w:rPr>
        <w:t>除了最终文本，还要记录最终环境状态、合法状态转移、验证 receipt、回滚行为、工具错误和轨迹。尽可能使用可执行或高保真评分器；模型 Judge 必须对独立权威做校准，并把评分器不确定性写入结论。</w:t>
      </w:r>
    </w:p>
    <w:p>
      <w:pPr>
        <w:pStyle w:val="Heading2"/>
      </w:pPr>
      <w:r>
        <w:rPr>
          <w:rFonts w:ascii="Calibri" w:hAnsi="Calibri" w:eastAsia="Microsoft YaHei"/>
          <w:b/>
          <w:color w:val="1F4D78"/>
          <w:sz w:val="26"/>
        </w:rPr>
        <w:t>6.7 加入机制检查和负对照</w:t>
      </w:r>
    </w:p>
    <w:p>
      <w:r>
        <w:rPr>
          <w:rFonts w:ascii="Calibri" w:hAnsi="Calibri" w:eastAsia="Microsoft YaHei"/>
          <w:b w:val="0"/>
          <w:color w:val="111111"/>
          <w:sz w:val="22"/>
        </w:rPr>
        <w:t>Treatment 必须改变其声称的中介变量：更多观测应提高决定性变量的可访问性；状态治理应减少非法转移；路由应改善选择性校准；支持干预应提高目标覆盖；聚合控制应减少不变量违反；规格治理应降低授权效用 regret。无关信息、sham control、Oracle candidate、Copy 对照和故意陈旧状态，都能区分机制效应与通用 extra-compute 效应。</w:t>
      </w:r>
    </w:p>
    <w:p>
      <w:pPr>
        <w:pStyle w:val="Heading2"/>
      </w:pPr>
      <w:r>
        <w:rPr>
          <w:rFonts w:ascii="Calibri" w:hAnsi="Calibri" w:eastAsia="Microsoft YaHei"/>
          <w:b/>
          <w:color w:val="1F4D78"/>
          <w:sz w:val="26"/>
        </w:rPr>
        <w:t>6.8 预注册证伪条件与最小效应</w:t>
      </w:r>
    </w:p>
    <w:p>
      <w:r>
        <w:rPr>
          <w:rFonts w:ascii="Calibri" w:hAnsi="Calibri" w:eastAsia="Microsoft YaHei"/>
          <w:b w:val="0"/>
          <w:color w:val="111111"/>
          <w:sz w:val="22"/>
        </w:rPr>
        <w:t>“只要是正差值”过于宽松。查看结果前应固定预期方向、最小实际重要效应、主终点、交互项和失败条件。保留零结果和反方向结果。一个干净合同下失败的预测是可累积知识；未记录的事后成功不是。</w:t>
      </w:r>
    </w:p>
    <w:p>
      <w:pPr>
        <w:pStyle w:val="Heading2"/>
      </w:pPr>
      <w:r>
        <w:rPr>
          <w:rFonts w:ascii="Calibri" w:hAnsi="Calibri" w:eastAsia="Microsoft YaHei"/>
          <w:b/>
          <w:color w:val="1F4D78"/>
          <w:sz w:val="26"/>
        </w:rPr>
        <w:t>6.9 跨模型复验，但不要求效应百分点相同</w:t>
      </w:r>
    </w:p>
    <w:p>
      <w:r>
        <w:rPr>
          <w:rFonts w:ascii="Calibri" w:hAnsi="Calibri" w:eastAsia="Microsoft YaHei"/>
          <w:b w:val="0"/>
          <w:color w:val="111111"/>
          <w:sz w:val="22"/>
        </w:rPr>
        <w:t>迁移主张应分层：</w:t>
      </w:r>
    </w:p>
    <w:p>
      <w:pPr>
        <w:spacing w:before="0" w:after="80" w:line="290" w:lineRule="auto"/>
        <w:numPr>
          <w:ilvl w:val="0"/>
          <w:numId w:val="13"/>
        </w:numPr>
      </w:pPr>
      <w:r>
        <w:rPr>
          <w:rFonts w:ascii="Calibri" w:hAnsi="Calibri" w:eastAsia="Microsoft YaHei"/>
          <w:b/>
          <w:color w:val="111111"/>
          <w:sz w:val="21"/>
        </w:rPr>
        <w:t>结构不变量：</w:t>
      </w:r>
      <w:r>
        <w:rPr>
          <w:rFonts w:ascii="Calibri" w:hAnsi="Calibri" w:eastAsia="Microsoft YaHei"/>
          <w:b w:val="0"/>
          <w:color w:val="111111"/>
          <w:sz w:val="21"/>
        </w:rPr>
        <w:t xml:space="preserve"> 来自信息、程序、事务或权威语义；</w:t>
      </w:r>
    </w:p>
    <w:p>
      <w:pPr>
        <w:spacing w:before="0" w:after="80" w:line="290" w:lineRule="auto"/>
        <w:numPr>
          <w:ilvl w:val="0"/>
          <w:numId w:val="13"/>
        </w:numPr>
      </w:pPr>
      <w:r>
        <w:rPr>
          <w:rFonts w:ascii="Calibri" w:hAnsi="Calibri" w:eastAsia="Microsoft YaHei"/>
          <w:b/>
          <w:color w:val="111111"/>
          <w:sz w:val="21"/>
        </w:rPr>
        <w:t>条件性机制预测：</w:t>
      </w:r>
      <w:r>
        <w:rPr>
          <w:rFonts w:ascii="Calibri" w:hAnsi="Calibri" w:eastAsia="Microsoft YaHei"/>
          <w:b w:val="0"/>
          <w:color w:val="111111"/>
          <w:sz w:val="21"/>
        </w:rPr>
        <w:t xml:space="preserve"> 相同失配条件出现时应当复现；</w:t>
      </w:r>
    </w:p>
    <w:p>
      <w:pPr>
        <w:spacing w:before="0" w:after="80" w:line="290" w:lineRule="auto"/>
        <w:numPr>
          <w:ilvl w:val="0"/>
          <w:numId w:val="13"/>
        </w:numPr>
      </w:pPr>
      <w:r>
        <w:rPr>
          <w:rFonts w:ascii="Calibri" w:hAnsi="Calibri" w:eastAsia="Microsoft YaHei"/>
          <w:b/>
          <w:color w:val="111111"/>
          <w:sz w:val="21"/>
        </w:rPr>
        <w:t>数值校准：</w:t>
      </w:r>
      <w:r>
        <w:rPr>
          <w:rFonts w:ascii="Calibri" w:hAnsi="Calibri" w:eastAsia="Microsoft YaHei"/>
          <w:b w:val="0"/>
          <w:color w:val="111111"/>
          <w:sz w:val="21"/>
        </w:rPr>
        <w:t xml:space="preserve"> 效应量、成本、阈值和最优复杂度依赖具体模型与协议。</w:t>
      </w:r>
    </w:p>
    <w:p>
      <w:r>
        <w:rPr>
          <w:rFonts w:ascii="Calibri" w:hAnsi="Calibri" w:eastAsia="Microsoft YaHei"/>
          <w:b w:val="0"/>
          <w:color w:val="111111"/>
          <w:sz w:val="22"/>
        </w:rPr>
        <w:t>不应要求：</w:t>
      </w:r>
    </w:p>
    <w:p>
      <w:pPr>
        <w:spacing w:before="100" w:after="180"/>
        <w:jc w:val="center"/>
      </w:pPr>
      <w:r>
        <w:rPr>
          <w:rFonts w:ascii="Cambria Math" w:hAnsi="Cambria Math" w:eastAsia="Microsoft YaHei"/>
          <w:color w:val="0B2545"/>
          <w:sz w:val="21"/>
        </w:rPr>
        <w:t>\Delta_g(\theta_1,D,b)=\Delta_g(\theta_2,D,b).</w:t>
      </w:r>
    </w:p>
    <w:p>
      <w:r>
        <w:rPr>
          <w:rFonts w:ascii="Calibri" w:hAnsi="Calibri" w:eastAsia="Microsoft YaHei"/>
          <w:b w:val="0"/>
          <w:color w:val="111111"/>
          <w:sz w:val="22"/>
        </w:rPr>
        <w:t>可累积的主张是：干预、前提、中介变量和证伪条件仍然可定义、可复验。每代模型都需要重新校准，而不是重新发明问题。</w:t>
      </w:r>
    </w:p>
    <w:p>
      <w:pPr>
        <w:pStyle w:val="Heading1"/>
      </w:pPr>
      <w:r>
        <w:rPr>
          <w:rFonts w:ascii="Calibri" w:hAnsi="Calibri" w:eastAsia="Microsoft YaHei"/>
          <w:b/>
          <w:color w:val="2E74B5"/>
          <w:sz w:val="32"/>
        </w:rPr>
        <w:t>7. Agent 工程的分阶段研究路线</w:t>
      </w:r>
    </w:p>
    <w:p>
      <w:pPr>
        <w:pStyle w:val="Heading2"/>
      </w:pPr>
      <w:r>
        <w:rPr>
          <w:rFonts w:ascii="Calibri" w:hAnsi="Calibri" w:eastAsia="Microsoft YaHei"/>
          <w:b/>
          <w:color w:val="1F4D78"/>
          <w:sz w:val="26"/>
        </w:rPr>
        <w:t>阶段 0：建立测量基础设施</w:t>
      </w:r>
    </w:p>
    <w:p>
      <w:r>
        <w:rPr>
          <w:rFonts w:ascii="Calibri" w:hAnsi="Calibri" w:eastAsia="Microsoft YaHei"/>
          <w:b w:val="0"/>
          <w:color w:val="111111"/>
          <w:sz w:val="22"/>
        </w:rPr>
        <w:t>版本化 Harness、隔离环境、捕获轨迹、暴露权威状态、标准化预算，并把评价器写成可执行对象。缺少这些基础，后续实验只会对不稳定系统给出精确数字。</w:t>
      </w:r>
    </w:p>
    <w:p>
      <w:pPr>
        <w:pStyle w:val="Heading2"/>
      </w:pPr>
      <w:r>
        <w:rPr>
          <w:rFonts w:ascii="Calibri" w:hAnsi="Calibri" w:eastAsia="Microsoft YaHei"/>
          <w:b/>
          <w:color w:val="1F4D78"/>
          <w:sz w:val="26"/>
        </w:rPr>
        <w:t>阶段 1：建立诊断型微型 Benchmark</w:t>
      </w:r>
    </w:p>
    <w:p>
      <w:r>
        <w:rPr>
          <w:rFonts w:ascii="Calibri" w:hAnsi="Calibri" w:eastAsia="Microsoft YaHei"/>
          <w:b w:val="0"/>
          <w:color w:val="111111"/>
          <w:sz w:val="22"/>
        </w:rPr>
        <w:t>针对每类失配构造成对任务，只改变一个结构剂量：观测损失、状态歧义、边界距离、支持稀有度、依赖耦合或目标歧义。第一目标不是现实感，而是可识别性。</w:t>
      </w:r>
    </w:p>
    <w:p>
      <w:pPr>
        <w:pStyle w:val="Heading2"/>
      </w:pPr>
      <w:r>
        <w:rPr>
          <w:rFonts w:ascii="Calibri" w:hAnsi="Calibri" w:eastAsia="Microsoft YaHei"/>
          <w:b/>
          <w:color w:val="1F4D78"/>
          <w:sz w:val="26"/>
        </w:rPr>
        <w:t>阶段 2：估计机制效应与交互效应</w:t>
      </w:r>
    </w:p>
    <w:p>
      <w:r>
        <w:rPr>
          <w:rFonts w:ascii="Calibri" w:hAnsi="Calibri" w:eastAsia="Microsoft YaHei"/>
          <w:b w:val="0"/>
          <w:color w:val="111111"/>
          <w:sz w:val="22"/>
        </w:rPr>
        <w:t>进行跨失配全因子实验，例如：观测 × 路由、状态权威 × 提交协议、支持搜索 × 验证器质量、依赖耦合 × 修复接口。复合失败很可能超加性出现，实验设计必须能够检测这种关系。</w:t>
      </w:r>
    </w:p>
    <w:p>
      <w:pPr>
        <w:pStyle w:val="Heading2"/>
      </w:pPr>
      <w:r>
        <w:rPr>
          <w:rFonts w:ascii="Calibri" w:hAnsi="Calibri" w:eastAsia="Microsoft YaHei"/>
          <w:b/>
          <w:color w:val="1F4D78"/>
          <w:sz w:val="26"/>
        </w:rPr>
        <w:t>阶段 3：在开放任务上测试迁移</w:t>
      </w:r>
    </w:p>
    <w:p>
      <w:r>
        <w:rPr>
          <w:rFonts w:ascii="Calibri" w:hAnsi="Calibri" w:eastAsia="Microsoft YaHei"/>
          <w:b w:val="0"/>
          <w:color w:val="111111"/>
          <w:sz w:val="22"/>
        </w:rPr>
        <w:t>从合成探针迁移到编码、研究、数据、浏览器、运营和协作任务。保持 treatment contract 不变，只改变表面形式，并明确报告机制在哪些地方停止迁移。</w:t>
      </w:r>
    </w:p>
    <w:p>
      <w:pPr>
        <w:pStyle w:val="Heading2"/>
      </w:pPr>
      <w:r>
        <w:rPr>
          <w:rFonts w:ascii="Calibri" w:hAnsi="Calibri" w:eastAsia="Microsoft YaHei"/>
          <w:b/>
          <w:color w:val="1F4D78"/>
          <w:sz w:val="26"/>
        </w:rPr>
        <w:t>阶段 4：进行跨模型纵向复验</w:t>
      </w:r>
    </w:p>
    <w:p>
      <w:r>
        <w:rPr>
          <w:rFonts w:ascii="Calibri" w:hAnsi="Calibri" w:eastAsia="Microsoft YaHei"/>
          <w:b w:val="0"/>
          <w:color w:val="111111"/>
          <w:sz w:val="22"/>
        </w:rPr>
        <w:t>保持任务族、环境快照和干预稳定，只更换模型，重新估计基线、处理效应、crossover 与最优启用策略。这会形成一张“模型 Scaling 如何移动失配边界”的经验地图。</w:t>
      </w:r>
    </w:p>
    <w:p>
      <w:pPr>
        <w:pStyle w:val="Heading2"/>
      </w:pPr>
      <w:r>
        <w:rPr>
          <w:rFonts w:ascii="Calibri" w:hAnsi="Calibri" w:eastAsia="Microsoft YaHei"/>
          <w:b/>
          <w:color w:val="1F4D78"/>
          <w:sz w:val="26"/>
        </w:rPr>
        <w:t>阶段 5：在生产中验证决策策略</w:t>
      </w:r>
    </w:p>
    <w:p>
      <w:r>
        <w:rPr>
          <w:rFonts w:ascii="Calibri" w:hAnsi="Calibri" w:eastAsia="Microsoft YaHei"/>
          <w:b w:val="0"/>
          <w:color w:val="111111"/>
          <w:sz w:val="22"/>
        </w:rPr>
        <w:t>先完成离线识别，再做受保护 rollout，检验学到的启用规则能否提高用户效用、成本、延迟和尾部风险。生产反馈应生成新的 Regression Guard 和实验任务，而不是静默改写原 Benchmark。</w:t>
      </w:r>
    </w:p>
    <w:p>
      <w:r>
        <w:rPr>
          <w:rFonts w:ascii="Calibri" w:hAnsi="Calibri" w:eastAsia="Microsoft YaHei"/>
          <w:b w:val="0"/>
          <w:color w:val="111111"/>
          <w:sz w:val="22"/>
        </w:rPr>
        <w:t>这个研究计划的输出不是一个普遍最优 Agent，而是一组条件性工程规律：</w:t>
      </w:r>
    </w:p>
    <w:p>
      <w:pPr>
        <w:spacing w:before="80" w:after="200" w:line="252" w:lineRule="auto"/>
        <w:ind w:left="317" w:right="115"/>
        <w:jc w:val="left"/>
        <w:shd w:val="clear" w:fill="F2F4F7"/>
        <w:pBdr>
          <w:left w:val="single" w:sz="14" w:space="8" w:color="0A6E75"/>
        </w:pBdr>
      </w:pPr>
      <w:r>
        <w:rPr>
          <w:rFonts w:ascii="Consolas" w:hAnsi="Consolas" w:eastAsia="Microsoft YaHei"/>
          <w:color w:val="1F4D78"/>
          <w:sz w:val="18"/>
        </w:rPr>
        <w:t>当状态歧义超过 c，</w:t>
      </w:r>
      <w:r>
        <w:br/>
      </w:r>
      <w:r>
        <w:rPr>
          <w:rFonts w:ascii="Consolas" w:hAnsi="Consolas" w:eastAsia="Microsoft YaHei"/>
          <w:color w:val="1F4D78"/>
          <w:sz w:val="18"/>
        </w:rPr>
        <w:t>提交前查询权威状态。</w:t>
      </w:r>
      <w:r>
        <w:br/>
      </w:r>
      <w:r>
        <w:rPr>
          <w:rFonts w:ascii="Consolas" w:hAnsi="Consolas" w:eastAsia="Microsoft YaHei"/>
          <w:color w:val="1F4D78"/>
          <w:sz w:val="18"/>
        </w:rPr>
      </w:r>
      <w:r>
        <w:br/>
      </w:r>
      <w:r>
        <w:rPr>
          <w:rFonts w:ascii="Consolas" w:hAnsi="Consolas" w:eastAsia="Microsoft YaHei"/>
          <w:color w:val="1F4D78"/>
          <w:sz w:val="18"/>
        </w:rPr>
        <w:t>当编辑密度低于 d 且计划已验证，</w:t>
      </w:r>
      <w:r>
        <w:br/>
      </w:r>
      <w:r>
        <w:rPr>
          <w:rFonts w:ascii="Consolas" w:hAnsi="Consolas" w:eastAsia="Microsoft YaHei"/>
          <w:color w:val="1F4D78"/>
          <w:sz w:val="18"/>
        </w:rPr>
        <w:t>优先选择有边界的 Patch 交付。</w:t>
      </w:r>
      <w:r>
        <w:br/>
      </w:r>
      <w:r>
        <w:rPr>
          <w:rFonts w:ascii="Consolas" w:hAnsi="Consolas" w:eastAsia="Microsoft YaHei"/>
          <w:color w:val="1F4D78"/>
          <w:sz w:val="18"/>
        </w:rPr>
      </w:r>
      <w:r>
        <w:br/>
      </w:r>
      <w:r>
        <w:rPr>
          <w:rFonts w:ascii="Consolas" w:hAnsi="Consolas" w:eastAsia="Microsoft YaHei"/>
          <w:color w:val="1F4D78"/>
          <w:sz w:val="18"/>
        </w:rPr>
        <w:t>当目标结构的有效支持很低，</w:t>
      </w:r>
      <w:r>
        <w:br/>
      </w:r>
      <w:r>
        <w:rPr>
          <w:rFonts w:ascii="Consolas" w:hAnsi="Consolas" w:eastAsia="Microsoft YaHei"/>
          <w:color w:val="1F4D78"/>
          <w:sz w:val="18"/>
        </w:rPr>
        <w:t>先改变控制空间，再购买更多同质样本。</w:t>
      </w:r>
      <w:r>
        <w:br/>
      </w:r>
      <w:r>
        <w:rPr>
          <w:rFonts w:ascii="Consolas" w:hAnsi="Consolas" w:eastAsia="Microsoft YaHei"/>
          <w:color w:val="1F4D78"/>
          <w:sz w:val="18"/>
        </w:rPr>
      </w:r>
      <w:r>
        <w:br/>
      </w:r>
      <w:r>
        <w:rPr>
          <w:rFonts w:ascii="Consolas" w:hAnsi="Consolas" w:eastAsia="Microsoft YaHei"/>
          <w:color w:val="1F4D78"/>
          <w:sz w:val="18"/>
        </w:rPr>
        <w:t>当目标授权缺失，</w:t>
      </w:r>
      <w:r>
        <w:br/>
      </w:r>
      <w:r>
        <w:rPr>
          <w:rFonts w:ascii="Consolas" w:hAnsi="Consolas" w:eastAsia="Microsoft YaHei"/>
          <w:color w:val="1F4D78"/>
          <w:sz w:val="18"/>
        </w:rPr>
        <w:t>升级给权威来源，而不是优化猜测出来的代理目标。</w:t>
      </w:r>
    </w:p>
    <w:p>
      <w:pPr>
        <w:pStyle w:val="Heading1"/>
      </w:pPr>
      <w:r>
        <w:rPr>
          <w:rFonts w:ascii="Calibri" w:hAnsi="Calibri" w:eastAsia="Microsoft YaHei"/>
          <w:b/>
          <w:color w:val="2E74B5"/>
          <w:sz w:val="32"/>
        </w:rPr>
        <w:t>8. 什么证据会反对本文主张</w:t>
      </w:r>
    </w:p>
    <w:p>
      <w:r>
        <w:rPr>
          <w:rFonts w:ascii="Calibri" w:hAnsi="Calibri" w:eastAsia="Microsoft YaHei"/>
          <w:b w:val="0"/>
          <w:color w:val="111111"/>
          <w:sz w:val="22"/>
        </w:rPr>
        <w:t>结构持续假设不能被保护在证据之外。如果在多样、开放任务族和预算匹配条件下反复出现以下结果，它就会被削弱：</w:t>
      </w:r>
    </w:p>
    <w:p>
      <w:pPr>
        <w:spacing w:before="0" w:after="80" w:line="290" w:lineRule="auto"/>
        <w:numPr>
          <w:ilvl w:val="0"/>
          <w:numId w:val="14"/>
        </w:numPr>
      </w:pPr>
      <w:r>
        <w:rPr>
          <w:rFonts w:ascii="Calibri" w:hAnsi="Calibri" w:eastAsia="Microsoft YaHei"/>
          <w:b w:val="0"/>
          <w:color w:val="111111"/>
          <w:sz w:val="21"/>
        </w:rPr>
        <w:t>最小 Runtime 在带失配剂量的探针上持续追平受治理 Runtime；</w:t>
      </w:r>
    </w:p>
    <w:p>
      <w:pPr>
        <w:spacing w:before="0" w:after="80" w:line="290" w:lineRule="auto"/>
        <w:numPr>
          <w:ilvl w:val="0"/>
          <w:numId w:val="14"/>
        </w:numPr>
      </w:pPr>
      <w:r>
        <w:rPr>
          <w:rFonts w:ascii="Calibri" w:hAnsi="Calibri" w:eastAsia="Microsoft YaHei"/>
          <w:b w:val="0"/>
          <w:color w:val="111111"/>
          <w:sz w:val="21"/>
        </w:rPr>
        <w:t>Treatment 效应不随对应失配剂量上升；</w:t>
      </w:r>
    </w:p>
    <w:p>
      <w:pPr>
        <w:spacing w:before="0" w:after="80" w:line="290" w:lineRule="auto"/>
        <w:numPr>
          <w:ilvl w:val="0"/>
          <w:numId w:val="14"/>
        </w:numPr>
      </w:pPr>
      <w:r>
        <w:rPr>
          <w:rFonts w:ascii="Calibri" w:hAnsi="Calibri" w:eastAsia="Microsoft YaHei"/>
          <w:b w:val="0"/>
          <w:color w:val="111111"/>
          <w:sz w:val="21"/>
        </w:rPr>
        <w:t>干预实施后，声称的中介变量没有变化；</w:t>
      </w:r>
    </w:p>
    <w:p>
      <w:pPr>
        <w:spacing w:before="0" w:after="80" w:line="290" w:lineRule="auto"/>
        <w:numPr>
          <w:ilvl w:val="0"/>
          <w:numId w:val="14"/>
        </w:numPr>
      </w:pPr>
      <w:r>
        <w:rPr>
          <w:rFonts w:ascii="Calibri" w:hAnsi="Calibri" w:eastAsia="Microsoft YaHei"/>
          <w:b w:val="0"/>
          <w:color w:val="111111"/>
          <w:sz w:val="21"/>
        </w:rPr>
        <w:t>强模型不仅消灭固定失败，也不再在新生成任务上出现预测中的边界迁移；</w:t>
      </w:r>
    </w:p>
    <w:p>
      <w:pPr>
        <w:spacing w:before="0" w:after="80" w:line="290" w:lineRule="auto"/>
        <w:numPr>
          <w:ilvl w:val="0"/>
          <w:numId w:val="14"/>
        </w:numPr>
      </w:pPr>
      <w:r>
        <w:rPr>
          <w:rFonts w:ascii="Calibri" w:hAnsi="Calibri" w:eastAsia="Microsoft YaHei"/>
          <w:b w:val="0"/>
          <w:color w:val="111111"/>
          <w:sz w:val="21"/>
        </w:rPr>
        <w:t>即使前提和机制检查被保留，效应仍完全不能迁移；</w:t>
      </w:r>
    </w:p>
    <w:p>
      <w:pPr>
        <w:spacing w:before="0" w:after="80" w:line="290" w:lineRule="auto"/>
        <w:numPr>
          <w:ilvl w:val="0"/>
          <w:numId w:val="14"/>
        </w:numPr>
      </w:pPr>
      <w:r>
        <w:rPr>
          <w:rFonts w:ascii="Calibri" w:hAnsi="Calibri" w:eastAsia="Microsoft YaHei"/>
          <w:b w:val="0"/>
          <w:color w:val="111111"/>
          <w:sz w:val="21"/>
        </w:rPr>
        <w:t>在相关运行区间内，治理开销和新增失败始终压倒收益。</w:t>
      </w:r>
    </w:p>
    <w:p>
      <w:r>
        <w:rPr>
          <w:rFonts w:ascii="Calibri" w:hAnsi="Calibri" w:eastAsia="Microsoft YaHei"/>
          <w:b w:val="0"/>
          <w:color w:val="111111"/>
          <w:sz w:val="22"/>
        </w:rPr>
        <w:t>有限 Benchmark 仍然无法证明某个失败类别已经从所有开放任务空间中消失，但它足以证明某个分类没有用、机制定义错误，或者干预在经济上不值得。框架只有允许自己这样失败，才具有科学价值。</w:t>
      </w:r>
    </w:p>
    <w:p>
      <w:pPr>
        <w:pStyle w:val="Heading1"/>
      </w:pPr>
      <w:r>
        <w:rPr>
          <w:rFonts w:ascii="Calibri" w:hAnsi="Calibri" w:eastAsia="Microsoft YaHei"/>
          <w:b/>
          <w:color w:val="2E74B5"/>
          <w:sz w:val="32"/>
        </w:rPr>
        <w:t>9. 结论</w:t>
      </w:r>
    </w:p>
    <w:p>
      <w:r>
        <w:rPr>
          <w:rFonts w:ascii="Calibri" w:hAnsi="Calibri" w:eastAsia="Microsoft YaHei"/>
          <w:b w:val="0"/>
          <w:color w:val="111111"/>
          <w:sz w:val="22"/>
        </w:rPr>
        <w:t>Agent 工程不可能通过收集更多不可分解的 Agent 分数变得可累积。只有当它能区分模型能力与能力机会、Harness 结构与组件命名、声称完成与权威提交、产品胜利与已识别机制时，它才开始成为科学工程。</w:t>
      </w:r>
    </w:p>
    <w:p>
      <w:r>
        <w:rPr>
          <w:rFonts w:ascii="Calibri" w:hAnsi="Calibri" w:eastAsia="Microsoft YaHei"/>
          <w:b w:val="0"/>
          <w:color w:val="111111"/>
          <w:sz w:val="22"/>
        </w:rPr>
        <w:t>当前前沿已经证明 Scaffold 选择、接口设计、环境波动、重复采样和组件交互都会实质改变结果。下一步应围绕稳定的失败结构组织受控实验。六类失配提供了这样的结构：它们说明价值在哪里损失、应该操纵什么变量、哪个中介量应当变化、哪个 Oracle 具有权威，以及实验如何被证伪。</w:t>
      </w:r>
    </w:p>
    <w:p>
      <w:r>
        <w:rPr>
          <w:rFonts w:ascii="Calibri" w:hAnsi="Calibri" w:eastAsia="Microsoft YaHei"/>
          <w:b w:val="0"/>
          <w:color w:val="111111"/>
          <w:sz w:val="22"/>
        </w:rPr>
        <w:t>因此，真正耐久的知识单元不是“在模型 Y 上，Harness X 提升了 8 个百分点”，而是：</w:t>
      </w:r>
    </w:p>
    <w:p>
      <w:pPr>
        <w:spacing w:before="120" w:after="200" w:line="300" w:lineRule="auto"/>
        <w:ind w:left="403" w:right="173"/>
        <w:shd w:val="clear" w:fill="EEF4FA"/>
        <w:pBdr>
          <w:left w:val="single" w:sz="18" w:space="9" w:color="2E74B5"/>
        </w:pBdr>
      </w:pPr>
      <w:r>
        <w:rPr>
          <w:rFonts w:ascii="Calibri" w:hAnsi="Calibri" w:eastAsia="Microsoft YaHei"/>
          <w:b/>
          <w:color w:val="0B2545"/>
          <w:sz w:val="22"/>
        </w:rPr>
        <w:t>在明确的结构条件下，一个受治理干预通过可观察的因果通道改变系统，并且其预算与风险边界已经被测量。</w:t>
      </w:r>
    </w:p>
    <w:p>
      <w:r>
        <w:rPr>
          <w:rFonts w:ascii="Calibri" w:hAnsi="Calibri" w:eastAsia="Microsoft YaHei"/>
          <w:b w:val="0"/>
          <w:color w:val="111111"/>
          <w:sz w:val="22"/>
        </w:rPr>
        <w:t>固定 Benchmark 会被解决，模型会变强，一部分外部 Scaffold 会被移入模型原生 Runtime。这些变化不会让受控实验过时。恰恰相反，只有受控实验能告诉 Agent 工程：究竟学到了什么，什么只是移动了边界，什么必须重新测量。</w:t>
      </w:r>
    </w:p>
    <w:p>
      <w:pPr>
        <w:spacing w:before="120" w:after="200" w:line="300" w:lineRule="auto"/>
        <w:ind w:left="403" w:right="173"/>
        <w:shd w:val="clear" w:fill="EEF4FA"/>
        <w:pBdr>
          <w:left w:val="single" w:sz="18" w:space="9" w:color="2E74B5"/>
        </w:pBdr>
      </w:pPr>
      <w:r>
        <w:rPr>
          <w:rFonts w:ascii="Calibri" w:hAnsi="Calibri" w:eastAsia="Microsoft YaHei"/>
          <w:b/>
          <w:color w:val="0B2545"/>
          <w:sz w:val="22"/>
        </w:rPr>
        <w:t>训练可以消灭旧问题，却不能消灭产生新问题的六类失配维度。</w:t>
      </w:r>
    </w:p>
    <w:p>
      <w:pPr>
        <w:spacing w:before="120" w:after="200" w:line="300" w:lineRule="auto"/>
        <w:ind w:left="403" w:right="173"/>
        <w:shd w:val="clear" w:fill="EEF4FA"/>
        <w:pBdr>
          <w:left w:val="single" w:sz="18" w:space="9" w:color="2E74B5"/>
        </w:pBdr>
      </w:pPr>
      <w:r>
        <w:rPr>
          <w:rFonts w:ascii="Calibri" w:hAnsi="Calibri" w:eastAsia="Microsoft YaHei"/>
          <w:b/>
          <w:color w:val="0B2545"/>
          <w:sz w:val="22"/>
        </w:rPr>
        <w:t>模型升级移动失配边界；受控实验识别边界上的治理规律。</w:t>
      </w:r>
    </w:p>
    <w:p>
      <w:pPr>
        <w:pStyle w:val="Heading1"/>
      </w:pPr>
      <w:r>
        <w:rPr>
          <w:rFonts w:ascii="Calibri" w:hAnsi="Calibri" w:eastAsia="Microsoft YaHei"/>
          <w:b/>
          <w:color w:val="2E74B5"/>
          <w:sz w:val="32"/>
        </w:rPr>
        <w:t>证据与主张边界</w:t>
      </w:r>
    </w:p>
    <w:p>
      <w:r>
        <w:rPr>
          <w:rFonts w:ascii="Calibri" w:hAnsi="Calibri" w:eastAsia="Microsoft YaHei"/>
          <w:b w:val="0"/>
          <w:color w:val="111111"/>
          <w:sz w:val="22"/>
        </w:rPr>
        <w:t>本文明确区分同行评议会议论文、近期预印本与一线实践报告。2026 年预印本只作为前沿证据使用，不作为已经定稿的共识。六类失配实验纲领是一个建立在本仓库结构框架上的可证伪研究提案，本文不声称它已经在所有领域和模型上获得验证。</w:t>
      </w:r>
    </w:p>
    <w:p>
      <w:r>
        <w:br w:type="page"/>
      </w:r>
    </w:p>
    <w:p>
      <w:pPr>
        <w:pStyle w:val="Heading1"/>
      </w:pPr>
      <w:r>
        <w:rPr>
          <w:rFonts w:ascii="Calibri" w:hAnsi="Calibri" w:eastAsia="Microsoft YaHei"/>
          <w:b/>
          <w:color w:val="2E74B5"/>
          <w:sz w:val="32"/>
        </w:rPr>
        <w:t>参考文献</w:t>
      </w:r>
    </w:p>
    <w:p>
      <w:pPr>
        <w:spacing w:before="0" w:after="40" w:line="264" w:lineRule="auto"/>
        <w:numPr>
          <w:ilvl w:val="0"/>
          <w:numId w:val="15"/>
        </w:numPr>
      </w:pPr>
      <w:r>
        <w:rPr>
          <w:rFonts w:ascii="Calibri" w:hAnsi="Calibri" w:eastAsia="Microsoft YaHei"/>
          <w:b w:val="0"/>
          <w:color w:val="111111"/>
          <w:sz w:val="18"/>
        </w:rPr>
        <w:t xml:space="preserve">METR. </w:t>
      </w:r>
      <w:hyperlink r:id="rId13">
        <w:r>
          <w:rPr>
            <w:rFonts w:ascii="Calibri" w:hAnsi="Calibri" w:eastAsia="Microsoft YaHei"/>
            <w:color w:val="2E74B5"/>
            <w:u w:val="single"/>
          </w:rPr>
          <w:t>Task-Completion Time Horizons of Frontier AI Models</w:t>
        </w:r>
      </w:hyperlink>
      <w:r>
        <w:rPr>
          <w:rFonts w:ascii="Calibri" w:hAnsi="Calibri" w:eastAsia="Microsoft YaHei"/>
          <w:b w:val="0"/>
          <w:color w:val="111111"/>
          <w:sz w:val="18"/>
        </w:rPr>
        <w:t>. 2026 年更新。</w:t>
      </w:r>
    </w:p>
    <w:p>
      <w:pPr>
        <w:spacing w:before="0" w:after="40" w:line="264" w:lineRule="auto"/>
        <w:numPr>
          <w:ilvl w:val="0"/>
          <w:numId w:val="15"/>
        </w:numPr>
      </w:pPr>
      <w:r>
        <w:rPr>
          <w:rFonts w:ascii="Calibri" w:hAnsi="Calibri" w:eastAsia="Microsoft YaHei"/>
          <w:b w:val="0"/>
          <w:color w:val="111111"/>
          <w:sz w:val="18"/>
        </w:rPr>
        <w:t xml:space="preserve">Yang, J., et al. </w:t>
      </w:r>
      <w:hyperlink r:id="rId14">
        <w:r>
          <w:rPr>
            <w:rFonts w:ascii="Calibri" w:hAnsi="Calibri" w:eastAsia="Microsoft YaHei"/>
            <w:color w:val="2E74B5"/>
            <w:u w:val="single"/>
          </w:rPr>
          <w:t>SWE-agent: Agent-Computer Interfaces Enable Automated Software Engineering</w:t>
        </w:r>
      </w:hyperlink>
      <w:r>
        <w:rPr>
          <w:rFonts w:ascii="Calibri" w:hAnsi="Calibri" w:eastAsia="Microsoft YaHei"/>
          <w:b w:val="0"/>
          <w:color w:val="111111"/>
          <w:sz w:val="18"/>
        </w:rPr>
        <w:t>. NeurIPS 2024.</w:t>
      </w:r>
    </w:p>
    <w:p>
      <w:pPr>
        <w:spacing w:before="0" w:after="40" w:line="264" w:lineRule="auto"/>
        <w:numPr>
          <w:ilvl w:val="0"/>
          <w:numId w:val="15"/>
        </w:numPr>
      </w:pPr>
      <w:r>
        <w:rPr>
          <w:rFonts w:ascii="Calibri" w:hAnsi="Calibri" w:eastAsia="Microsoft YaHei"/>
          <w:b w:val="0"/>
          <w:color w:val="111111"/>
          <w:sz w:val="18"/>
        </w:rPr>
        <w:t xml:space="preserve">Kapoor, S., et al. </w:t>
      </w:r>
      <w:hyperlink r:id="rId15">
        <w:r>
          <w:rPr>
            <w:rFonts w:ascii="Calibri" w:hAnsi="Calibri" w:eastAsia="Microsoft YaHei"/>
            <w:color w:val="2E74B5"/>
            <w:u w:val="single"/>
          </w:rPr>
          <w:t>AI Agents That Matter</w:t>
        </w:r>
      </w:hyperlink>
      <w:r>
        <w:rPr>
          <w:rFonts w:ascii="Calibri" w:hAnsi="Calibri" w:eastAsia="Microsoft YaHei"/>
          <w:b w:val="0"/>
          <w:color w:val="111111"/>
          <w:sz w:val="18"/>
        </w:rPr>
        <w:t>. 2024.</w:t>
      </w:r>
    </w:p>
    <w:p>
      <w:pPr>
        <w:spacing w:before="0" w:after="40" w:line="264" w:lineRule="auto"/>
        <w:numPr>
          <w:ilvl w:val="0"/>
          <w:numId w:val="15"/>
        </w:numPr>
      </w:pPr>
      <w:r>
        <w:rPr>
          <w:rFonts w:ascii="Calibri" w:hAnsi="Calibri" w:eastAsia="Microsoft YaHei"/>
          <w:b w:val="0"/>
          <w:color w:val="111111"/>
          <w:sz w:val="18"/>
        </w:rPr>
        <w:t xml:space="preserve">Lopopolo, R. </w:t>
      </w:r>
      <w:hyperlink r:id="rId16">
        <w:r>
          <w:rPr>
            <w:rFonts w:ascii="Calibri" w:hAnsi="Calibri" w:eastAsia="Microsoft YaHei"/>
            <w:color w:val="2E74B5"/>
            <w:u w:val="single"/>
          </w:rPr>
          <w:t>Harness engineering: leveraging Codex in an agent-first world</w:t>
        </w:r>
      </w:hyperlink>
      <w:r>
        <w:rPr>
          <w:rFonts w:ascii="Calibri" w:hAnsi="Calibri" w:eastAsia="Microsoft YaHei"/>
          <w:b w:val="0"/>
          <w:color w:val="111111"/>
          <w:sz w:val="18"/>
        </w:rPr>
        <w:t>. OpenAI, 2026.</w:t>
      </w:r>
    </w:p>
    <w:p>
      <w:pPr>
        <w:spacing w:before="0" w:after="40" w:line="264" w:lineRule="auto"/>
        <w:numPr>
          <w:ilvl w:val="0"/>
          <w:numId w:val="15"/>
        </w:numPr>
      </w:pPr>
      <w:r>
        <w:rPr>
          <w:rFonts w:ascii="Calibri" w:hAnsi="Calibri" w:eastAsia="Microsoft YaHei"/>
          <w:b w:val="0"/>
          <w:color w:val="111111"/>
          <w:sz w:val="18"/>
        </w:rPr>
        <w:t xml:space="preserve">Anthropic. </w:t>
      </w:r>
      <w:hyperlink r:id="rId17">
        <w:r>
          <w:rPr>
            <w:rFonts w:ascii="Calibri" w:hAnsi="Calibri" w:eastAsia="Microsoft YaHei"/>
            <w:color w:val="2E74B5"/>
            <w:u w:val="single"/>
          </w:rPr>
          <w:t>Demystifying evals for AI agents</w:t>
        </w:r>
      </w:hyperlink>
      <w:r>
        <w:rPr>
          <w:rFonts w:ascii="Calibri" w:hAnsi="Calibri" w:eastAsia="Microsoft YaHei"/>
          <w:b w:val="0"/>
          <w:color w:val="111111"/>
          <w:sz w:val="18"/>
        </w:rPr>
        <w:t>. 2026.</w:t>
      </w:r>
    </w:p>
    <w:p>
      <w:pPr>
        <w:spacing w:before="0" w:after="40" w:line="264" w:lineRule="auto"/>
        <w:numPr>
          <w:ilvl w:val="0"/>
          <w:numId w:val="15"/>
        </w:numPr>
      </w:pPr>
      <w:r>
        <w:rPr>
          <w:rFonts w:ascii="Calibri" w:hAnsi="Calibri" w:eastAsia="Microsoft YaHei"/>
          <w:b w:val="0"/>
          <w:color w:val="111111"/>
          <w:sz w:val="18"/>
        </w:rPr>
        <w:t xml:space="preserve">Gu, S. </w:t>
      </w:r>
      <w:hyperlink r:id="rId18">
        <w:r>
          <w:rPr>
            <w:rFonts w:ascii="Calibri" w:hAnsi="Calibri" w:eastAsia="Microsoft YaHei"/>
            <w:color w:val="2E74B5"/>
            <w:u w:val="single"/>
          </w:rPr>
          <w:t>From Model Scaling to System Scaling: Scaling the Harness in Agentic AI</w:t>
        </w:r>
      </w:hyperlink>
      <w:r>
        <w:rPr>
          <w:rFonts w:ascii="Calibri" w:hAnsi="Calibri" w:eastAsia="Microsoft YaHei"/>
          <w:b w:val="0"/>
          <w:color w:val="111111"/>
          <w:sz w:val="18"/>
        </w:rPr>
        <w:t>. 2026.</w:t>
      </w:r>
    </w:p>
    <w:p>
      <w:pPr>
        <w:spacing w:before="0" w:after="40" w:line="264" w:lineRule="auto"/>
        <w:numPr>
          <w:ilvl w:val="0"/>
          <w:numId w:val="15"/>
        </w:numPr>
      </w:pPr>
      <w:r>
        <w:rPr>
          <w:rFonts w:ascii="Calibri" w:hAnsi="Calibri" w:eastAsia="Microsoft YaHei"/>
          <w:b w:val="0"/>
          <w:color w:val="111111"/>
          <w:sz w:val="18"/>
        </w:rPr>
        <w:t xml:space="preserve">Zhu, P., et al. </w:t>
      </w:r>
      <w:hyperlink r:id="rId19">
        <w:r>
          <w:rPr>
            <w:rFonts w:ascii="Calibri" w:hAnsi="Calibri" w:eastAsia="Microsoft YaHei"/>
            <w:color w:val="2E74B5"/>
            <w:u w:val="single"/>
          </w:rPr>
          <w:t>A Unified Framework for the Evaluation of LLM Agentic Capabilities</w:t>
        </w:r>
      </w:hyperlink>
      <w:r>
        <w:rPr>
          <w:rFonts w:ascii="Calibri" w:hAnsi="Calibri" w:eastAsia="Microsoft YaHei"/>
          <w:b w:val="0"/>
          <w:color w:val="111111"/>
          <w:sz w:val="18"/>
        </w:rPr>
        <w:t>. 2026.</w:t>
      </w:r>
    </w:p>
    <w:p>
      <w:pPr>
        <w:spacing w:before="0" w:after="40" w:line="264" w:lineRule="auto"/>
        <w:numPr>
          <w:ilvl w:val="0"/>
          <w:numId w:val="15"/>
        </w:numPr>
      </w:pPr>
      <w:r>
        <w:rPr>
          <w:rFonts w:ascii="Calibri" w:hAnsi="Calibri" w:eastAsia="Microsoft YaHei"/>
          <w:b w:val="0"/>
          <w:color w:val="111111"/>
          <w:sz w:val="18"/>
        </w:rPr>
        <w:t xml:space="preserve">Ben Sghaier, O., et al. </w:t>
      </w:r>
      <w:hyperlink r:id="rId20">
        <w:r>
          <w:rPr>
            <w:rFonts w:ascii="Calibri" w:hAnsi="Calibri" w:eastAsia="Microsoft YaHei"/>
            <w:color w:val="2E74B5"/>
            <w:u w:val="single"/>
          </w:rPr>
          <w:t>Don't Blame the Large Language Model: How Agent Harness Evolution Shapes Coding Agent Quality</w:t>
        </w:r>
      </w:hyperlink>
      <w:r>
        <w:rPr>
          <w:rFonts w:ascii="Calibri" w:hAnsi="Calibri" w:eastAsia="Microsoft YaHei"/>
          <w:b w:val="0"/>
          <w:color w:val="111111"/>
          <w:sz w:val="18"/>
        </w:rPr>
        <w:t>. 2026.</w:t>
      </w:r>
    </w:p>
    <w:p>
      <w:pPr>
        <w:spacing w:before="0" w:after="40" w:line="264" w:lineRule="auto"/>
        <w:numPr>
          <w:ilvl w:val="0"/>
          <w:numId w:val="15"/>
        </w:numPr>
      </w:pPr>
      <w:r>
        <w:rPr>
          <w:rFonts w:ascii="Calibri" w:hAnsi="Calibri" w:eastAsia="Microsoft YaHei"/>
          <w:b w:val="0"/>
          <w:color w:val="111111"/>
          <w:sz w:val="18"/>
        </w:rPr>
        <w:t xml:space="preserve">Cho, Y. </w:t>
      </w:r>
      <w:hyperlink r:id="rId21">
        <w:r>
          <w:rPr>
            <w:rFonts w:ascii="Calibri" w:hAnsi="Calibri" w:eastAsia="Microsoft YaHei"/>
            <w:color w:val="2E74B5"/>
            <w:u w:val="single"/>
          </w:rPr>
          <w:t>It's Not the Capability: Harness Sensitivity Is Non-Monotone Across LLM Agent Tiers</w:t>
        </w:r>
      </w:hyperlink>
      <w:r>
        <w:rPr>
          <w:rFonts w:ascii="Calibri" w:hAnsi="Calibri" w:eastAsia="Microsoft YaHei"/>
          <w:b w:val="0"/>
          <w:color w:val="111111"/>
          <w:sz w:val="18"/>
        </w:rPr>
        <w:t>. 2026.</w:t>
      </w:r>
    </w:p>
    <w:p>
      <w:pPr>
        <w:spacing w:before="0" w:after="40" w:line="264" w:lineRule="auto"/>
        <w:numPr>
          <w:ilvl w:val="0"/>
          <w:numId w:val="15"/>
        </w:numPr>
      </w:pPr>
      <w:r>
        <w:rPr>
          <w:rFonts w:ascii="Calibri" w:hAnsi="Calibri" w:eastAsia="Microsoft YaHei"/>
          <w:b w:val="0"/>
          <w:color w:val="111111"/>
          <w:sz w:val="18"/>
        </w:rPr>
        <w:t xml:space="preserve">Lin, J., et al. </w:t>
      </w:r>
      <w:hyperlink r:id="rId22">
        <w:r>
          <w:rPr>
            <w:rFonts w:ascii="Calibri" w:hAnsi="Calibri" w:eastAsia="Microsoft YaHei"/>
            <w:color w:val="2E74B5"/>
            <w:u w:val="single"/>
          </w:rPr>
          <w:t>Agentic Harness Engineering: Observability-Driven Automatic Evolution of Coding-Agent Harnesses</w:t>
        </w:r>
      </w:hyperlink>
      <w:r>
        <w:rPr>
          <w:rFonts w:ascii="Calibri" w:hAnsi="Calibri" w:eastAsia="Microsoft YaHei"/>
          <w:b w:val="0"/>
          <w:color w:val="111111"/>
          <w:sz w:val="18"/>
        </w:rPr>
        <w:t>. 2026.</w:t>
      </w:r>
    </w:p>
    <w:p>
      <w:pPr>
        <w:spacing w:before="0" w:after="40" w:line="264" w:lineRule="auto"/>
        <w:numPr>
          <w:ilvl w:val="0"/>
          <w:numId w:val="15"/>
        </w:numPr>
      </w:pPr>
      <w:r>
        <w:rPr>
          <w:rFonts w:ascii="Calibri" w:hAnsi="Calibri" w:eastAsia="Microsoft YaHei"/>
          <w:b w:val="0"/>
          <w:color w:val="111111"/>
          <w:sz w:val="18"/>
        </w:rPr>
        <w:t xml:space="preserve">Lukassen, F., et al. </w:t>
      </w:r>
      <w:hyperlink r:id="rId23">
        <w:r>
          <w:rPr>
            <w:rFonts w:ascii="Calibri" w:hAnsi="Calibri" w:eastAsia="Microsoft YaHei"/>
            <w:color w:val="2E74B5"/>
            <w:u w:val="single"/>
          </w:rPr>
          <w:t>CAFE: A Compound-AI Factorial Evaluation Framework</w:t>
        </w:r>
      </w:hyperlink>
      <w:r>
        <w:rPr>
          <w:rFonts w:ascii="Calibri" w:hAnsi="Calibri" w:eastAsia="Microsoft YaHei"/>
          <w:b w:val="0"/>
          <w:color w:val="111111"/>
          <w:sz w:val="18"/>
        </w:rPr>
        <w:t>. 2026.</w:t>
      </w:r>
    </w:p>
    <w:p>
      <w:pPr>
        <w:spacing w:before="0" w:after="40" w:line="264" w:lineRule="auto"/>
        <w:numPr>
          <w:ilvl w:val="0"/>
          <w:numId w:val="15"/>
        </w:numPr>
      </w:pPr>
      <w:r>
        <w:rPr>
          <w:rFonts w:ascii="Calibri" w:hAnsi="Calibri" w:eastAsia="Microsoft YaHei"/>
          <w:b w:val="0"/>
          <w:color w:val="111111"/>
          <w:sz w:val="18"/>
        </w:rPr>
        <w:t xml:space="preserve">Zhang, W., Cai, H., and Chen, W. </w:t>
      </w:r>
      <w:hyperlink r:id="rId24">
        <w:r>
          <w:rPr>
            <w:rFonts w:ascii="Calibri" w:hAnsi="Calibri" w:eastAsia="Microsoft YaHei"/>
            <w:color w:val="2E74B5"/>
            <w:u w:val="single"/>
          </w:rPr>
          <w:t>Beyond the Singular: Revealing the Value of Multiple Generations in Benchmark Evaluation</w:t>
        </w:r>
      </w:hyperlink>
      <w:r>
        <w:rPr>
          <w:rFonts w:ascii="Calibri" w:hAnsi="Calibri" w:eastAsia="Microsoft YaHei"/>
          <w:b w:val="0"/>
          <w:color w:val="111111"/>
          <w:sz w:val="18"/>
        </w:rPr>
        <w:t>. Findings of ACL 2026.</w:t>
      </w:r>
    </w:p>
    <w:p>
      <w:pPr>
        <w:spacing w:before="0" w:after="40" w:line="264" w:lineRule="auto"/>
        <w:numPr>
          <w:ilvl w:val="0"/>
          <w:numId w:val="15"/>
        </w:numPr>
      </w:pPr>
      <w:r>
        <w:rPr>
          <w:rFonts w:ascii="Calibri" w:hAnsi="Calibri" w:eastAsia="Microsoft YaHei"/>
          <w:b w:val="0"/>
          <w:color w:val="111111"/>
          <w:sz w:val="18"/>
        </w:rPr>
        <w:t xml:space="preserve">Yehudai, A., et al. </w:t>
      </w:r>
      <w:hyperlink r:id="rId26">
        <w:r>
          <w:rPr>
            <w:rFonts w:ascii="Calibri" w:hAnsi="Calibri" w:eastAsia="Microsoft YaHei"/>
            <w:color w:val="2E74B5"/>
            <w:u w:val="single"/>
          </w:rPr>
          <w:t>A Survey on Evaluation of LLM-based Agents</w:t>
        </w:r>
      </w:hyperlink>
      <w:r>
        <w:rPr>
          <w:rFonts w:ascii="Calibri" w:hAnsi="Calibri" w:eastAsia="Microsoft YaHei"/>
          <w:b w:val="0"/>
          <w:color w:val="111111"/>
          <w:sz w:val="18"/>
        </w:rPr>
        <w:t>. Findings of ACL 2026.</w:t>
      </w:r>
    </w:p>
    <w:p>
      <w:r>
        <w:br w:type="page"/>
      </w:r>
    </w:p>
    <w:p>
      <w:pPr>
        <w:pStyle w:val="LanguageTitle"/>
        <w:jc w:val="left"/>
      </w:pPr>
      <w:r>
        <w:rPr>
          <w:rFonts w:ascii="Calibri" w:hAnsi="Calibri" w:eastAsia="Microsoft YaHei"/>
          <w:b/>
          <w:color w:val="0B2545"/>
          <w:sz w:val="48"/>
        </w:rPr>
        <w:t>Why Agent Engineering Must Take Controlled Experiments Seriously</w:t>
      </w:r>
    </w:p>
    <w:p>
      <w:pPr>
        <w:pStyle w:val="LanguageSubtitle"/>
      </w:pPr>
      <w:r>
        <w:rPr>
          <w:rFonts w:ascii="Calibri" w:hAnsi="Calibri" w:eastAsia="Microsoft YaHei"/>
          <w:b w:val="0"/>
          <w:color w:val="1F4D78"/>
          <w:sz w:val="28"/>
        </w:rPr>
        <w:t>From benchmark progress to a cumulative science of runtime mechanisms</w:t>
      </w:r>
    </w:p>
    <w:p>
      <w:r>
        <w:rPr>
          <w:rFonts w:ascii="Calibri" w:hAnsi="Calibri" w:eastAsia="Microsoft YaHei"/>
          <w:b/>
          <w:color w:val="111111"/>
          <w:sz w:val="22"/>
        </w:rPr>
        <w:t>Status:</w:t>
      </w:r>
      <w:r>
        <w:rPr>
          <w:rFonts w:ascii="Calibri" w:hAnsi="Calibri" w:eastAsia="Microsoft YaHei"/>
          <w:b w:val="0"/>
          <w:color w:val="111111"/>
          <w:sz w:val="22"/>
        </w:rPr>
        <w:t xml:space="preserve"> Working Draft v0.1</w:t>
      </w:r>
    </w:p>
    <w:p>
      <w:r>
        <w:rPr>
          <w:rFonts w:ascii="Calibri" w:hAnsi="Calibri" w:eastAsia="Microsoft YaHei"/>
          <w:b/>
          <w:color w:val="111111"/>
          <w:sz w:val="22"/>
        </w:rPr>
        <w:t>Date:</w:t>
      </w:r>
      <w:r>
        <w:rPr>
          <w:rFonts w:ascii="Calibri" w:hAnsi="Calibri" w:eastAsia="Microsoft YaHei"/>
          <w:b w:val="0"/>
          <w:color w:val="111111"/>
          <w:sz w:val="22"/>
        </w:rPr>
        <w:t xml:space="preserve"> 2026-08-12</w:t>
      </w:r>
    </w:p>
    <w:p>
      <w:r>
        <w:rPr>
          <w:rFonts w:ascii="Calibri" w:hAnsi="Calibri" w:eastAsia="Microsoft YaHei"/>
          <w:b/>
          <w:color w:val="111111"/>
          <w:sz w:val="22"/>
        </w:rPr>
        <w:t>Companion:</w:t>
      </w:r>
      <w:r>
        <w:rPr>
          <w:rFonts w:ascii="Calibri" w:hAnsi="Calibri" w:eastAsia="Microsoft YaHei"/>
          <w:b w:val="0"/>
          <w:color w:val="111111"/>
          <w:sz w:val="22"/>
        </w:rPr>
        <w:t xml:space="preserve"> </w:t>
      </w:r>
      <w:hyperlink r:id="rId27">
        <w:r>
          <w:rPr>
            <w:rFonts w:ascii="Calibri" w:hAnsi="Calibri" w:eastAsia="Microsoft YaHei"/>
            <w:color w:val="2E74B5"/>
            <w:u w:val="single"/>
          </w:rPr>
          <w:t>中文版本</w:t>
        </w:r>
      </w:hyperlink>
    </w:p>
    <w:p>
      <w:r>
        <w:rPr>
          <w:rFonts w:ascii="Calibri" w:hAnsi="Calibri" w:eastAsia="Microsoft YaHei"/>
          <w:b/>
          <w:color w:val="111111"/>
          <w:sz w:val="22"/>
        </w:rPr>
        <w:t>Related framework:</w:t>
      </w:r>
      <w:r>
        <w:rPr>
          <w:rFonts w:ascii="Calibri" w:hAnsi="Calibri" w:eastAsia="Microsoft YaHei"/>
          <w:b w:val="0"/>
          <w:color w:val="111111"/>
          <w:sz w:val="22"/>
        </w:rPr>
        <w:t xml:space="preserve"> </w:t>
      </w:r>
      <w:hyperlink r:id="rId28">
        <w:r>
          <w:rPr>
            <w:rFonts w:ascii="Calibri" w:hAnsi="Calibri" w:eastAsia="Microsoft YaHei"/>
            <w:color w:val="2E74B5"/>
            <w:u w:val="single"/>
          </w:rPr>
          <w:t>Agent Hardness Framework</w:t>
        </w:r>
      </w:hyperlink>
      <w:r>
        <w:rPr>
          <w:rFonts w:ascii="Calibri" w:hAnsi="Calibri" w:eastAsia="Microsoft YaHei"/>
          <w:b w:val="0"/>
          <w:color w:val="111111"/>
          <w:sz w:val="22"/>
        </w:rPr>
        <w:t xml:space="preserve"> · </w:t>
      </w:r>
      <w:hyperlink r:id="rId29">
        <w:r>
          <w:rPr>
            <w:rFonts w:ascii="Calibri" w:hAnsi="Calibri" w:eastAsia="Microsoft YaHei"/>
            <w:color w:val="2E74B5"/>
            <w:u w:val="single"/>
          </w:rPr>
          <w:t>Six Primitive Mismatches</w:t>
        </w:r>
      </w:hyperlink>
    </w:p>
    <w:p>
      <w:pPr>
        <w:pStyle w:val="Heading1"/>
      </w:pPr>
      <w:r>
        <w:rPr>
          <w:rFonts w:ascii="Calibri" w:hAnsi="Calibri" w:eastAsia="Microsoft YaHei"/>
          <w:b/>
          <w:color w:val="2E74B5"/>
          <w:sz w:val="32"/>
        </w:rPr>
        <w:t>Abstract</w:t>
      </w:r>
    </w:p>
    <w:p>
      <w:pPr>
        <w:spacing w:after="100" w:line="288" w:lineRule="auto"/>
      </w:pPr>
      <w:r>
        <w:rPr>
          <w:rFonts w:ascii="Calibri" w:hAnsi="Calibri" w:eastAsia="Microsoft YaHei"/>
          <w:b w:val="0"/>
          <w:color w:val="111111"/>
          <w:sz w:val="20"/>
        </w:rPr>
        <w:t>Agent engineering is moving from prompt craft toward the design of complete runtime systems: models, context constructors, tools, memory, routers, planners, verifiers, state stores, commit protocols, and recovery loops. Yet the field still evaluates many of these systems as indivisible products. A new agent changes its model, prompt, tool interface, retry budget, verifier, and benchmark harness at once, and the resulting end-to-end score is presented as if it identified the source of improvement.</w:t>
      </w:r>
    </w:p>
    <w:p>
      <w:pPr>
        <w:spacing w:after="100" w:line="288" w:lineRule="auto"/>
      </w:pPr>
      <w:r>
        <w:rPr>
          <w:rFonts w:ascii="Calibri" w:hAnsi="Calibri" w:eastAsia="Microsoft YaHei"/>
          <w:b w:val="0"/>
          <w:color w:val="111111"/>
          <w:sz w:val="20"/>
        </w:rPr>
        <w:t>This is enough for a leaderboard. It is not enough for a cumulative engineering science.</w:t>
      </w:r>
    </w:p>
    <w:p>
      <w:pPr>
        <w:spacing w:after="100" w:line="288" w:lineRule="auto"/>
      </w:pPr>
      <w:r>
        <w:rPr>
          <w:rFonts w:ascii="Calibri" w:hAnsi="Calibri" w:eastAsia="Microsoft YaHei"/>
          <w:b w:val="0"/>
          <w:color w:val="111111"/>
          <w:sz w:val="20"/>
        </w:rPr>
        <w:t>Recent work has begun to correct the imbalance. Research on agent-computer interfaces, reproducible agent evaluation, harness evolution, unified agent frameworks, factorial evaluation, and multi-generation statistics all points in the same direction: an agent score is a joint property of the model, harness, environment, budget, and evaluator. Fixed-model studies show that scaffold changes alone can move quality materially; cross-model studies show that harness sensitivity is not monotone in model capability; industrial reports increasingly treat observability, persistent state, verifiable outcomes, and mechanically enforced constraints as first-class infrastructure.</w:t>
      </w:r>
    </w:p>
    <w:p>
      <w:pPr>
        <w:spacing w:after="100" w:line="288" w:lineRule="auto"/>
      </w:pPr>
      <w:r>
        <w:rPr>
          <w:rFonts w:ascii="Calibri" w:hAnsi="Calibri" w:eastAsia="Microsoft YaHei"/>
          <w:b w:val="0"/>
          <w:color w:val="111111"/>
          <w:sz w:val="20"/>
        </w:rPr>
        <w:t>But this frontier still has a limitation. Establishing that “the harness matters” does not identify which structural failure was repaired, through which causal channel, under which conditions, or whether the effect should transfer to a new model. This paper proposes a sharper, falsifiable foundation. It treats observation-representation, state, fitting-boundary, support, aggregation, and specification mismatch as six candidate structural ways in which task value can be lost between the world and an agent's committed output. The structural-persistence hypothesis predicts that model improvement can reduce their frequency and move their boundaries, but cannot uniformly remove the underlying dimensions in open task spaces with finite resources and imperfect interfaces.</w:t>
      </w:r>
    </w:p>
    <w:p>
      <w:pPr>
        <w:spacing w:after="100" w:line="288" w:lineRule="auto"/>
      </w:pPr>
      <w:r>
        <w:rPr>
          <w:rFonts w:ascii="Calibri" w:hAnsi="Calibri" w:eastAsia="Microsoft YaHei"/>
          <w:b w:val="0"/>
          <w:color w:val="111111"/>
          <w:sz w:val="20"/>
        </w:rPr>
        <w:t>Controlled experiments should therefore become the central method of agent engineering. Their purpose is not to freeze the behavior of one model generation. Their purpose is to identify structural conditions, causal mechanisms, interaction effects, and activation boundaries that can be retested and recalibrated as models change. Training moves the boundary; controlled experiments measure the governance laws at the boundary.</w:t>
      </w:r>
    </w:p>
    <w:p>
      <w:r>
        <w:br w:type="page"/>
      </w:r>
    </w:p>
    <w:p>
      <w:pPr>
        <w:spacing w:before="0" w:after="100"/>
        <w:jc w:val="center"/>
      </w:pPr>
      <w:r>
        <w:drawing>
          <wp:inline xmlns:a="http://schemas.openxmlformats.org/drawingml/2006/main" xmlns:pic="http://schemas.openxmlformats.org/drawingml/2006/picture">
            <wp:extent cx="4645152" cy="7426624"/>
            <wp:docPr id="2" name="Picture 2" title="Six primitive mismatches" descr="Figure 1. Six primitive mismatches across the LLM-system value-preservation pipeline."/>
            <wp:cNvGraphicFramePr>
              <a:graphicFrameLocks noChangeAspect="1"/>
            </wp:cNvGraphicFramePr>
            <a:graphic>
              <a:graphicData uri="http://schemas.openxmlformats.org/drawingml/2006/picture">
                <pic:pic>
                  <pic:nvPicPr>
                    <pic:cNvPr id="0" name="six_mismatch.en.png"/>
                    <pic:cNvPicPr/>
                  </pic:nvPicPr>
                  <pic:blipFill>
                    <a:blip r:embed="rId30"/>
                    <a:stretch>
                      <a:fillRect/>
                    </a:stretch>
                  </pic:blipFill>
                  <pic:spPr>
                    <a:xfrm>
                      <a:off x="0" y="0"/>
                      <a:ext cx="4645152" cy="7426624"/>
                    </a:xfrm>
                    <a:prstGeom prst="rect"/>
                  </pic:spPr>
                </pic:pic>
              </a:graphicData>
            </a:graphic>
          </wp:inline>
        </w:drawing>
      </w:r>
    </w:p>
    <w:p>
      <w:pPr>
        <w:pStyle w:val="CaptionCustom"/>
        <w:jc w:val="center"/>
      </w:pPr>
      <w:r>
        <w:rPr>
          <w:rFonts w:ascii="Calibri" w:hAnsi="Calibri" w:eastAsia="Microsoft YaHei"/>
          <w:b w:val="0"/>
          <w:color w:val="5B6573"/>
          <w:sz w:val="18"/>
        </w:rPr>
        <w:t>Figure 1. Six primitive mismatches across the LLM-system value-preservation pipeline.</w:t>
      </w:r>
    </w:p>
    <w:p>
      <w:r>
        <w:br w:type="page"/>
      </w:r>
    </w:p>
    <w:p>
      <w:pPr>
        <w:pStyle w:val="Heading1"/>
      </w:pPr>
      <w:r>
        <w:rPr>
          <w:rFonts w:ascii="Calibri" w:hAnsi="Calibri" w:eastAsia="Microsoft YaHei"/>
          <w:b/>
          <w:color w:val="2E74B5"/>
          <w:sz w:val="32"/>
        </w:rPr>
        <w:t>1. The methodological problem is confounding, not a shortage of benchmarks</w:t>
      </w:r>
    </w:p>
    <w:p>
      <w:r>
        <w:rPr>
          <w:rFonts w:ascii="Calibri" w:hAnsi="Calibri" w:eastAsia="Microsoft YaHei"/>
          <w:b w:val="0"/>
          <w:color w:val="111111"/>
          <w:sz w:val="22"/>
        </w:rPr>
        <w:t>Let the expected value of an agent system be</w:t>
      </w:r>
    </w:p>
    <w:p>
      <w:pPr>
        <w:spacing w:before="100" w:after="180"/>
        <w:jc w:val="center"/>
      </w:pPr>
      <w:r>
        <w:rPr>
          <w:rFonts w:ascii="Cambria Math" w:hAnsi="Cambria Math" w:eastAsia="Microsoft YaHei"/>
          <w:color w:val="0B2545"/>
          <w:sz w:val="21"/>
        </w:rPr>
        <w:t>J(\theta,H,E,D,b,V),</w:t>
      </w:r>
    </w:p>
    <w:p>
      <w:r>
        <w:rPr>
          <w:rFonts w:ascii="Calibri" w:hAnsi="Calibri" w:eastAsia="Microsoft YaHei"/>
          <w:b w:val="0"/>
          <w:color w:val="111111"/>
          <w:sz w:val="22"/>
        </w:rPr>
        <w:t>where:</w:t>
      </w:r>
    </w:p>
    <w:p>
      <w:pPr>
        <w:spacing w:before="0" w:after="80" w:line="290" w:lineRule="auto"/>
        <w:numPr>
          <w:ilvl w:val="0"/>
          <w:numId w:val="16"/>
        </w:numPr>
      </w:pPr>
      <w:r>
        <w:rPr>
          <w:rFonts w:ascii="Calibri" w:hAnsi="Calibri" w:eastAsia="Microsoft YaHei"/>
          <w:b w:val="0"/>
          <w:color w:val="111111"/>
          <w:sz w:val="21"/>
        </w:rPr>
        <w:t>\(\theta\) is the model and inference policy;</w:t>
      </w:r>
    </w:p>
    <w:p>
      <w:pPr>
        <w:spacing w:before="0" w:after="80" w:line="290" w:lineRule="auto"/>
        <w:numPr>
          <w:ilvl w:val="0"/>
          <w:numId w:val="16"/>
        </w:numPr>
      </w:pPr>
      <w:r>
        <w:rPr>
          <w:rFonts w:ascii="Calibri" w:hAnsi="Calibri" w:eastAsia="Microsoft YaHei"/>
          <w:b w:val="0"/>
          <w:color w:val="111111"/>
          <w:sz w:val="21"/>
        </w:rPr>
        <w:t>\(H\) is the runtime harness;</w:t>
      </w:r>
    </w:p>
    <w:p>
      <w:pPr>
        <w:spacing w:before="0" w:after="80" w:line="290" w:lineRule="auto"/>
        <w:numPr>
          <w:ilvl w:val="0"/>
          <w:numId w:val="16"/>
        </w:numPr>
      </w:pPr>
      <w:r>
        <w:rPr>
          <w:rFonts w:ascii="Calibri" w:hAnsi="Calibri" w:eastAsia="Microsoft YaHei"/>
          <w:b w:val="0"/>
          <w:color w:val="111111"/>
          <w:sz w:val="21"/>
        </w:rPr>
        <w:t>\(E\) is the environment and tool surface;</w:t>
      </w:r>
    </w:p>
    <w:p>
      <w:pPr>
        <w:spacing w:before="0" w:after="80" w:line="290" w:lineRule="auto"/>
        <w:numPr>
          <w:ilvl w:val="0"/>
          <w:numId w:val="16"/>
        </w:numPr>
      </w:pPr>
      <w:r>
        <w:rPr>
          <w:rFonts w:ascii="Calibri" w:hAnsi="Calibri" w:eastAsia="Microsoft YaHei"/>
          <w:b w:val="0"/>
          <w:color w:val="111111"/>
          <w:sz w:val="21"/>
        </w:rPr>
        <w:t>\(D\) is the task distribution;</w:t>
      </w:r>
    </w:p>
    <w:p>
      <w:pPr>
        <w:spacing w:before="0" w:after="80" w:line="290" w:lineRule="auto"/>
        <w:numPr>
          <w:ilvl w:val="0"/>
          <w:numId w:val="16"/>
        </w:numPr>
      </w:pPr>
      <w:r>
        <w:rPr>
          <w:rFonts w:ascii="Calibri" w:hAnsi="Calibri" w:eastAsia="Microsoft YaHei"/>
          <w:b w:val="0"/>
          <w:color w:val="111111"/>
          <w:sz w:val="21"/>
        </w:rPr>
        <w:t>\(b\) is the token, time, call, money, and risk budget;</w:t>
      </w:r>
    </w:p>
    <w:p>
      <w:pPr>
        <w:spacing w:before="0" w:after="80" w:line="290" w:lineRule="auto"/>
        <w:numPr>
          <w:ilvl w:val="0"/>
          <w:numId w:val="16"/>
        </w:numPr>
      </w:pPr>
      <w:r>
        <w:rPr>
          <w:rFonts w:ascii="Calibri" w:hAnsi="Calibri" w:eastAsia="Microsoft YaHei"/>
          <w:b w:val="0"/>
          <w:color w:val="111111"/>
          <w:sz w:val="21"/>
        </w:rPr>
        <w:t>\(V\) is the evaluator or oracle.</w:t>
      </w:r>
    </w:p>
    <w:p>
      <w:r>
        <w:rPr>
          <w:rFonts w:ascii="Calibri" w:hAnsi="Calibri" w:eastAsia="Microsoft YaHei"/>
          <w:b w:val="0"/>
          <w:color w:val="111111"/>
          <w:sz w:val="22"/>
        </w:rPr>
        <w:t>Most public comparisons change several arguments at once. A new agent release may use a stronger model, a longer context window, a different system prompt, new tools, a larger retry budget, altered truncation rules, a more permissive verifier, and a refreshed task set. The observed difference</w:t>
      </w:r>
    </w:p>
    <w:p>
      <w:pPr>
        <w:spacing w:before="100" w:after="180"/>
        <w:jc w:val="center"/>
      </w:pPr>
      <w:r>
        <w:rPr>
          <w:rFonts w:ascii="Cambria Math" w:hAnsi="Cambria Math" w:eastAsia="Microsoft YaHei"/>
          <w:color w:val="0B2545"/>
          <w:sz w:val="21"/>
        </w:rPr>
        <w:t>J(\theta_2,H_2,E_2,D_2,b_2,V_2)</w:t>
      </w:r>
      <w:r>
        <w:br/>
      </w:r>
      <w:r>
        <w:rPr>
          <w:rFonts w:ascii="Cambria Math" w:hAnsi="Cambria Math" w:eastAsia="Microsoft YaHei"/>
          <w:color w:val="0B2545"/>
          <w:sz w:val="21"/>
        </w:rPr>
        <w:t>-</w:t>
      </w:r>
      <w:r>
        <w:br/>
      </w:r>
      <w:r>
        <w:rPr>
          <w:rFonts w:ascii="Cambria Math" w:hAnsi="Cambria Math" w:eastAsia="Microsoft YaHei"/>
          <w:color w:val="0B2545"/>
          <w:sz w:val="21"/>
        </w:rPr>
        <w:t>J(\theta_1,H_1,E_1,D_1,b_1,V_1)</w:t>
      </w:r>
    </w:p>
    <w:p>
      <w:r>
        <w:rPr>
          <w:rFonts w:ascii="Calibri" w:hAnsi="Calibri" w:eastAsia="Microsoft YaHei"/>
          <w:b w:val="0"/>
          <w:color w:val="111111"/>
          <w:sz w:val="22"/>
        </w:rPr>
        <w:t>is a valid product comparison. It is not an identified mechanism effect.</w:t>
      </w:r>
    </w:p>
    <w:p>
      <w:r>
        <w:rPr>
          <w:rFonts w:ascii="Calibri" w:hAnsi="Calibri" w:eastAsia="Microsoft YaHei"/>
          <w:b w:val="0"/>
          <w:color w:val="111111"/>
          <w:sz w:val="22"/>
        </w:rPr>
        <w:t>This distinction matters because product optimization and scientific accumulation ask different questions:</w:t>
      </w:r>
    </w:p>
    <w:p>
      <w:pPr>
        <w:spacing w:before="80" w:after="200" w:line="252" w:lineRule="auto"/>
        <w:ind w:left="317" w:right="115"/>
        <w:jc w:val="left"/>
        <w:shd w:val="clear" w:fill="F2F4F7"/>
        <w:pBdr>
          <w:left w:val="single" w:sz="14" w:space="8" w:color="0A6E75"/>
        </w:pBdr>
      </w:pPr>
      <w:r>
        <w:rPr>
          <w:rFonts w:ascii="Consolas" w:hAnsi="Consolas" w:eastAsia="Microsoft YaHei"/>
          <w:color w:val="1F4D78"/>
          <w:sz w:val="18"/>
        </w:rPr>
        <w:t>Product question:</w:t>
      </w:r>
      <w:r>
        <w:br/>
      </w:r>
      <w:r>
        <w:rPr>
          <w:rFonts w:ascii="Consolas" w:hAnsi="Consolas" w:eastAsia="Microsoft YaHei"/>
          <w:color w:val="1F4D78"/>
          <w:sz w:val="18"/>
        </w:rPr>
        <w:t>Which complete system should we deploy today?</w:t>
      </w:r>
      <w:r>
        <w:br/>
      </w:r>
      <w:r>
        <w:rPr>
          <w:rFonts w:ascii="Consolas" w:hAnsi="Consolas" w:eastAsia="Microsoft YaHei"/>
          <w:color w:val="1F4D78"/>
          <w:sz w:val="18"/>
        </w:rPr>
      </w:r>
      <w:r>
        <w:br/>
      </w:r>
      <w:r>
        <w:rPr>
          <w:rFonts w:ascii="Consolas" w:hAnsi="Consolas" w:eastAsia="Microsoft YaHei"/>
          <w:color w:val="1F4D78"/>
          <w:sz w:val="18"/>
        </w:rPr>
        <w:t>Scientific question:</w:t>
      </w:r>
      <w:r>
        <w:br/>
      </w:r>
      <w:r>
        <w:rPr>
          <w:rFonts w:ascii="Consolas" w:hAnsi="Consolas" w:eastAsia="Microsoft YaHei"/>
          <w:color w:val="1F4D78"/>
          <w:sz w:val="18"/>
        </w:rPr>
        <w:t>Under condition C, does intervention G change outcome Y</w:t>
      </w:r>
      <w:r>
        <w:br/>
      </w:r>
      <w:r>
        <w:rPr>
          <w:rFonts w:ascii="Consolas" w:hAnsi="Consolas" w:eastAsia="Microsoft YaHei"/>
          <w:color w:val="1F4D78"/>
          <w:sz w:val="18"/>
        </w:rPr>
        <w:t>through mechanism M, at what cost, and with what interactions?</w:t>
      </w:r>
    </w:p>
    <w:p>
      <w:r>
        <w:rPr>
          <w:rFonts w:ascii="Calibri" w:hAnsi="Calibri" w:eastAsia="Microsoft YaHei"/>
          <w:b w:val="0"/>
          <w:color w:val="111111"/>
          <w:sz w:val="22"/>
        </w:rPr>
        <w:t>End-to-end evaluation remains necessary. Users experience the full system, not an ablation table. But end-to-end evaluation is the last layer of evidence, not a substitute for the layers beneath it. Without controlled contrasts, the field repeatedly rediscovers recipes while losing the ability to explain why they worked, when they will fail, and what should survive a model upgrade.</w:t>
      </w:r>
    </w:p>
    <w:p>
      <w:r>
        <w:rPr>
          <w:rFonts w:ascii="Calibri" w:hAnsi="Calibri" w:eastAsia="Microsoft YaHei"/>
          <w:b w:val="0"/>
          <w:color w:val="111111"/>
          <w:sz w:val="22"/>
        </w:rPr>
        <w:t xml:space="preserve">In this paper, a </w:t>
      </w:r>
      <w:r>
        <w:rPr>
          <w:rFonts w:ascii="Calibri" w:hAnsi="Calibri" w:eastAsia="Microsoft YaHei"/>
          <w:b/>
          <w:color w:val="111111"/>
          <w:sz w:val="22"/>
        </w:rPr>
        <w:t>controlled experiment</w:t>
      </w:r>
      <w:r>
        <w:rPr>
          <w:rFonts w:ascii="Calibri" w:hAnsi="Calibri" w:eastAsia="Microsoft YaHei"/>
          <w:b w:val="0"/>
          <w:color w:val="111111"/>
          <w:sz w:val="22"/>
        </w:rPr>
        <w:t xml:space="preserve"> means a pre-specified manipulation of a runtime or environment variable with matched comparison arms, an authoritative endpoint, and explicit falsifiers. Randomization should be used where feasible, but the category also includes paired deterministic probes, blocked offline trials, and factorial mechanism studies. It does not mean that every useful question must be reduced to a production A/B test.</w:t>
      </w:r>
    </w:p>
    <w:p>
      <w:pPr>
        <w:pStyle w:val="Heading1"/>
      </w:pPr>
      <w:r>
        <w:rPr>
          <w:rFonts w:ascii="Calibri" w:hAnsi="Calibri" w:eastAsia="Microsoft YaHei"/>
          <w:b/>
          <w:color w:val="2E74B5"/>
          <w:sz w:val="32"/>
        </w:rPr>
        <w:t>2. The frontier is shifting from model scores to system evidence</w:t>
      </w:r>
    </w:p>
    <w:p>
      <w:r>
        <w:rPr>
          <w:rFonts w:ascii="Calibri" w:hAnsi="Calibri" w:eastAsia="Microsoft YaHei"/>
          <w:b w:val="0"/>
          <w:color w:val="111111"/>
          <w:sz w:val="22"/>
        </w:rPr>
        <w:t>Several lines of work now converge on a joint-system view.</w:t>
      </w:r>
    </w:p>
    <w:tbl>
      <w:tblPr>
        <w:tblW w:type="dxa" w:w="9360"/>
        <w:jc w:val="left"/>
        <w:tblLayout w:type="fixed"/>
        <w:tblLook w:firstColumn="1" w:firstRow="1" w:lastColumn="0" w:lastRow="0" w:noHBand="0" w:noVBand="1" w:val="04A0"/>
        <w:tblInd w:w="120" w:type="dxa"/>
        <w:tblBorders>
          <w:top w:val="single" w:sz="4" w:color="B8C2CE" w:space="0"/>
          <w:left w:val="single" w:sz="4" w:color="B8C2CE" w:space="0"/>
          <w:bottom w:val="single" w:sz="4" w:color="B8C2CE" w:space="0"/>
          <w:right w:val="single" w:sz="4" w:color="B8C2CE" w:space="0"/>
          <w:insideH w:val="single" w:sz="4" w:color="B8C2CE" w:space="0"/>
          <w:insideV w:val="single" w:sz="4" w:color="B8C2CE" w:space="0"/>
        </w:tblBorders>
      </w:tblPr>
      <w:tblGrid>
        <w:gridCol w:w="1800"/>
        <w:gridCol w:w="3300"/>
        <w:gridCol w:w="4260"/>
      </w:tblGrid>
      <w:tr>
        <w:trPr>
          <w:tblHeader w:val="true"/>
        </w:trPr>
        <w:tc>
          <w:tcPr>
            <w:tcW w:type="dxa" w:w="18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8"/>
              </w:rPr>
              <w:t>Line of work</w:t>
            </w:r>
          </w:p>
        </w:tc>
        <w:tc>
          <w:tcPr>
            <w:tcW w:type="dxa" w:w="33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8"/>
              </w:rPr>
              <w:t>What it establishes</w:t>
            </w:r>
          </w:p>
        </w:tc>
        <w:tc>
          <w:tcPr>
            <w:tcW w:type="dxa" w:w="426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8"/>
              </w:rPr>
              <w:t>What it does not yet establish</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METR's time-horizon program</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Frontier agents can reliably complete tasks of increasing human-equivalent duration; capability boundaries move quickly.</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Whether the gain comes from the model, the fixed evaluation scaffold, task composition, or their interaction; nor whether runtime governance becomes unnecessary.</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SWE-agent</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Agent-computer interface design can materially change a model's ability to navigate, edit, and test software.</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 general causal taxonomy of interface effects outside software engineering.</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AI Agents That Matter</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Accuracy-only leaderboards conflate developer needs, cost, overfitting, and reproducibility.</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 mechanism-level decomposition of runtime interventions.</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OpenAI's harness engineering report</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Legible environments, feedback loops, mechanical constraints, repository-local knowledge, and observability can compound in real engineering work.</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 randomized comparison; it is high-value field evidence, not causal identification.</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Anthropic's agent-eval guidance</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The unit under evaluation is the model-harness system; trials need isolated environments, multiple attempts, traces, and outcome-state graders.</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 universal prescription for which harness mechanisms work.</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From Model Scaling to System Scaling</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Context, memory, routing, orchestration, verification, and governance should be first-class objects of design and evaluation.</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Strong cross-domain causal evidence; much of the contribution is a research agenda and reference architecture.</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 Unified Framework for the Evaluation of LLM Agentic Capabilities</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Across a large rollout corpus, scaffold choice and environmental volatility can move benchmark outcomes in both directions.</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Complete separation of intrinsic capability from the bias introduced by the chosen common ReAct-style scaffold and task adaptations.</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Agent Harness Evolution Shapes Coding Agent Quality</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Holding the model fixed across 35 sequential harness releases exposes substantial quality variation and links shifts to concrete components.</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Broad external validity beyond one longitudinal CLI, one coding domain, and a stratified 50-task sample.</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Harness Sensitivity Is Non-Monotone</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 432-run controlled study rejects the simple claim that stronger models always need less structure.</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 capability-tier law: each tier contains only one tested model, and the benchmark is small and synthetic.</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Agentic Harness Engineering</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Observable, revertible harness evolution can improve coding performance; some evolved tools, middleware, and memory transfer across model families better than prompt changes.</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That automatic evolution found a globally valid mechanism rather than benchmark- and optimizer-conditioned improvements.</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CAFE</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Factorial designs and mixed-effects models can attribute variance to compound-AI components and interactions.</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Generality beyond its demonstrated RAG setting and the validity limits of model-based judges.</w:t>
            </w:r>
          </w:p>
        </w:tc>
      </w:tr>
      <w:tr>
        <w:tc>
          <w:tcPr>
            <w:tcW w:type="dxa" w:w="18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Beyond the Singular</w:t>
            </w:r>
          </w:p>
        </w:tc>
        <w:tc>
          <w:tcPr>
            <w:tcW w:type="dxa" w:w="33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Multiple generations and hierarchical modeling expose sampling variance hidden by single-run benchmark scores.</w:t>
            </w:r>
          </w:p>
        </w:tc>
        <w:tc>
          <w:tcPr>
            <w:tcW w:type="dxa" w:w="42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8"/>
              </w:rPr>
              <w:t>Environmental, tool, and state correlations specific to long agent trajectories.</w:t>
            </w:r>
          </w:p>
        </w:tc>
      </w:tr>
    </w:tbl>
    <w:p>
      <w:pPr>
        <w:spacing w:after="80"/>
      </w:pPr>
    </w:p>
    <w:p>
      <w:r>
        <w:rPr>
          <w:rFonts w:ascii="Calibri" w:hAnsi="Calibri" w:eastAsia="Microsoft YaHei"/>
          <w:b w:val="0"/>
          <w:color w:val="111111"/>
          <w:sz w:val="22"/>
        </w:rPr>
        <w:t>The important change is epistemic. The field is beginning to accept four propositions:</w:t>
      </w:r>
    </w:p>
    <w:p>
      <w:pPr>
        <w:spacing w:before="0" w:after="80" w:line="290" w:lineRule="auto"/>
        <w:numPr>
          <w:ilvl w:val="0"/>
          <w:numId w:val="17"/>
        </w:numPr>
      </w:pPr>
      <w:r>
        <w:rPr>
          <w:rFonts w:ascii="Calibri" w:hAnsi="Calibri" w:eastAsia="Microsoft YaHei"/>
          <w:b w:val="0"/>
          <w:color w:val="111111"/>
          <w:sz w:val="21"/>
        </w:rPr>
        <w:t>an “agent” is a compound system, not a model with a long prompt;</w:t>
      </w:r>
    </w:p>
    <w:p>
      <w:pPr>
        <w:spacing w:before="0" w:after="80" w:line="290" w:lineRule="auto"/>
        <w:numPr>
          <w:ilvl w:val="0"/>
          <w:numId w:val="17"/>
        </w:numPr>
      </w:pPr>
      <w:r>
        <w:rPr>
          <w:rFonts w:ascii="Calibri" w:hAnsi="Calibri" w:eastAsia="Microsoft YaHei"/>
          <w:b w:val="0"/>
          <w:color w:val="111111"/>
          <w:sz w:val="21"/>
        </w:rPr>
        <w:t>final success is jointly produced by model, harness, environment, budget, and oracle;</w:t>
      </w:r>
    </w:p>
    <w:p>
      <w:pPr>
        <w:spacing w:before="0" w:after="80" w:line="290" w:lineRule="auto"/>
        <w:numPr>
          <w:ilvl w:val="0"/>
          <w:numId w:val="17"/>
        </w:numPr>
      </w:pPr>
      <w:r>
        <w:rPr>
          <w:rFonts w:ascii="Calibri" w:hAnsi="Calibri" w:eastAsia="Microsoft YaHei"/>
          <w:b w:val="0"/>
          <w:color w:val="111111"/>
          <w:sz w:val="21"/>
        </w:rPr>
        <w:t>traces and final environment state carry information that a scalar score discards;</w:t>
      </w:r>
    </w:p>
    <w:p>
      <w:pPr>
        <w:spacing w:before="0" w:after="80" w:line="290" w:lineRule="auto"/>
        <w:numPr>
          <w:ilvl w:val="0"/>
          <w:numId w:val="17"/>
        </w:numPr>
      </w:pPr>
      <w:r>
        <w:rPr>
          <w:rFonts w:ascii="Calibri" w:hAnsi="Calibri" w:eastAsia="Microsoft YaHei"/>
          <w:b w:val="0"/>
          <w:color w:val="111111"/>
          <w:sz w:val="21"/>
        </w:rPr>
        <w:t>stochastic systems require replication, uncertainty estimates, and matched conditions.</w:t>
      </w:r>
    </w:p>
    <w:p>
      <w:r>
        <w:rPr>
          <w:rFonts w:ascii="Calibri" w:hAnsi="Calibri" w:eastAsia="Microsoft YaHei"/>
          <w:b w:val="0"/>
          <w:color w:val="111111"/>
          <w:sz w:val="22"/>
        </w:rPr>
        <w:t>These propositions create the opening for controlled experimentation. They do not complete it.</w:t>
      </w:r>
    </w:p>
    <w:p>
      <w:pPr>
        <w:pStyle w:val="Heading1"/>
      </w:pPr>
      <w:r>
        <w:rPr>
          <w:rFonts w:ascii="Calibri" w:hAnsi="Calibri" w:eastAsia="Microsoft YaHei"/>
          <w:b/>
          <w:color w:val="2E74B5"/>
          <w:sz w:val="32"/>
        </w:rPr>
        <w:t>3. Why the frontier still falls short of a cumulative science</w:t>
      </w:r>
    </w:p>
    <w:p>
      <w:pPr>
        <w:pStyle w:val="Heading2"/>
      </w:pPr>
      <w:r>
        <w:rPr>
          <w:rFonts w:ascii="Calibri" w:hAnsi="Calibri" w:eastAsia="Microsoft YaHei"/>
          <w:b/>
          <w:color w:val="1F4D78"/>
          <w:sz w:val="26"/>
        </w:rPr>
        <w:t>3.1 “Harness matters” is a direction, not a causal explanation</w:t>
      </w:r>
    </w:p>
    <w:p>
      <w:r>
        <w:rPr>
          <w:rFonts w:ascii="Calibri" w:hAnsi="Calibri" w:eastAsia="Microsoft YaHei"/>
          <w:b w:val="0"/>
          <w:color w:val="111111"/>
          <w:sz w:val="22"/>
        </w:rPr>
        <w:t>If adding memory improves success, at least five explanations remain possible: missing observations became available; latent state was represented more accurately; the correct capability was routed more often; rare useful structures received more support; or locally correct pieces were aggregated more coherently. “Memory helped” names a component. It does not identify the repaired failure.</w:t>
      </w:r>
    </w:p>
    <w:p>
      <w:r>
        <w:rPr>
          <w:rFonts w:ascii="Calibri" w:hAnsi="Calibri" w:eastAsia="Microsoft YaHei"/>
          <w:b w:val="0"/>
          <w:color w:val="111111"/>
          <w:sz w:val="22"/>
        </w:rPr>
        <w:t>Component labels are unstable across implementations. One system's “memory” is another system's state store, retrieval layer, prompt compressor, or audit log. Mechanism labels are more portable: observation coverage, state authority, routing calibration, support coverage, composition integrity, and objective fidelity.</w:t>
      </w:r>
    </w:p>
    <w:p>
      <w:pPr>
        <w:pStyle w:val="Heading2"/>
      </w:pPr>
      <w:r>
        <w:rPr>
          <w:rFonts w:ascii="Calibri" w:hAnsi="Calibri" w:eastAsia="Microsoft YaHei"/>
          <w:b/>
          <w:color w:val="1F4D78"/>
          <w:sz w:val="26"/>
        </w:rPr>
        <w:t>3.2 Ablation is not automatically a controlled experiment</w:t>
      </w:r>
    </w:p>
    <w:p>
      <w:r>
        <w:rPr>
          <w:rFonts w:ascii="Calibri" w:hAnsi="Calibri" w:eastAsia="Microsoft YaHei"/>
          <w:b w:val="0"/>
          <w:color w:val="111111"/>
          <w:sz w:val="22"/>
        </w:rPr>
        <w:t>Removing a component can change token count, latency, available actions, prompt length, model attention, retry opportunity, and verifier behavior at the same time. A large ablation effect may be real while its causal channel remains ambiguous. A valid contrast needs a treatment contract: what is fixed, what is manipulated, what mediator should change, which endpoint is authoritative, and what result would falsify the mechanism claim.</w:t>
      </w:r>
    </w:p>
    <w:p>
      <w:pPr>
        <w:pStyle w:val="Heading2"/>
      </w:pPr>
      <w:r>
        <w:rPr>
          <w:rFonts w:ascii="Calibri" w:hAnsi="Calibri" w:eastAsia="Microsoft YaHei"/>
          <w:b/>
          <w:color w:val="1F4D78"/>
          <w:sz w:val="26"/>
        </w:rPr>
        <w:t>3.3 Benchmarks often confound capability with opportunity</w:t>
      </w:r>
    </w:p>
    <w:p>
      <w:r>
        <w:rPr>
          <w:rFonts w:ascii="Calibri" w:hAnsi="Calibri" w:eastAsia="Microsoft YaHei"/>
          <w:b w:val="0"/>
          <w:color w:val="111111"/>
          <w:sz w:val="22"/>
        </w:rPr>
        <w:t>A model cannot use information it never observes, cannot commit to a state transition the environment does not expose, and cannot satisfy an objective the evaluator mis-specifies. Yet a low score is often recorded as “model failure.” Conversely, a permissive grader, leaked state, shared caches, or benchmark-specific scaffolding may create an artificial success. The result is a measurement of opportunity plus capability, incorrectly reported as capability alone.</w:t>
      </w:r>
    </w:p>
    <w:p>
      <w:pPr>
        <w:pStyle w:val="Heading2"/>
      </w:pPr>
      <w:r>
        <w:rPr>
          <w:rFonts w:ascii="Calibri" w:hAnsi="Calibri" w:eastAsia="Microsoft YaHei"/>
          <w:b/>
          <w:color w:val="1F4D78"/>
          <w:sz w:val="26"/>
        </w:rPr>
        <w:t>3.4 Model-harness interaction defeats monotone recipes</w:t>
      </w:r>
    </w:p>
    <w:p>
      <w:r>
        <w:rPr>
          <w:rFonts w:ascii="Calibri" w:hAnsi="Calibri" w:eastAsia="Microsoft YaHei"/>
          <w:b w:val="0"/>
          <w:color w:val="111111"/>
          <w:sz w:val="22"/>
        </w:rPr>
        <w:t>The non-monotone harness results are not an inconvenience; they are a warning about main-effect thinking. A strict scaffold can help one reasoning model and hurt a frontier chat model. A useful engineering law must therefore be conditional:</w:t>
      </w:r>
    </w:p>
    <w:p>
      <w:pPr>
        <w:spacing w:before="80" w:after="200" w:line="252" w:lineRule="auto"/>
        <w:ind w:left="317" w:right="115"/>
        <w:jc w:val="left"/>
        <w:shd w:val="clear" w:fill="F2F4F7"/>
        <w:pBdr>
          <w:left w:val="single" w:sz="14" w:space="8" w:color="0A6E75"/>
        </w:pBdr>
      </w:pPr>
      <w:r>
        <w:rPr>
          <w:rFonts w:ascii="Consolas" w:hAnsi="Consolas" w:eastAsia="Microsoft YaHei"/>
          <w:color w:val="1F4D78"/>
          <w:sz w:val="18"/>
        </w:rPr>
        <w:t>not: mechanism G is better</w:t>
      </w:r>
      <w:r>
        <w:br/>
      </w:r>
      <w:r>
        <w:rPr>
          <w:rFonts w:ascii="Consolas" w:hAnsi="Consolas" w:eastAsia="Microsoft YaHei"/>
          <w:color w:val="1F4D78"/>
          <w:sz w:val="18"/>
        </w:rPr>
        <w:t>but: G is better when mismatch dose C is high,</w:t>
      </w:r>
      <w:r>
        <w:br/>
      </w:r>
      <w:r>
        <w:rPr>
          <w:rFonts w:ascii="Consolas" w:hAnsi="Consolas" w:eastAsia="Microsoft YaHei"/>
          <w:color w:val="1F4D78"/>
          <w:sz w:val="18"/>
        </w:rPr>
        <w:t xml:space="preserve">     model family θ can use G,</w:t>
      </w:r>
      <w:r>
        <w:br/>
      </w:r>
      <w:r>
        <w:rPr>
          <w:rFonts w:ascii="Consolas" w:hAnsi="Consolas" w:eastAsia="Microsoft YaHei"/>
          <w:color w:val="1F4D78"/>
          <w:sz w:val="18"/>
        </w:rPr>
        <w:t xml:space="preserve">     and overhead remains below budget b.</w:t>
      </w:r>
    </w:p>
    <w:p>
      <w:pPr>
        <w:pStyle w:val="Heading2"/>
      </w:pPr>
      <w:r>
        <w:rPr>
          <w:rFonts w:ascii="Calibri" w:hAnsi="Calibri" w:eastAsia="Microsoft YaHei"/>
          <w:b/>
          <w:color w:val="1F4D78"/>
          <w:sz w:val="26"/>
        </w:rPr>
        <w:t>3.5 Endpoint accuracy hides authority and failure mode</w:t>
      </w:r>
    </w:p>
    <w:p>
      <w:r>
        <w:rPr>
          <w:rFonts w:ascii="Calibri" w:hAnsi="Calibri" w:eastAsia="Microsoft YaHei"/>
          <w:b w:val="0"/>
          <w:color w:val="111111"/>
          <w:sz w:val="22"/>
        </w:rPr>
        <w:t>An agent can announce completion while the database, repository, calendar, or payment system remains unchanged. It can also reach a correct answer through an unsafe or unrecoverable trajectory. Final-text grading collapses claimed state, verified state, and committed state. Agent engineering needs outcome-state oracles, transition validity, rollback evidence, cost, and tail-risk measures in addition to task success.</w:t>
      </w:r>
    </w:p>
    <w:p>
      <w:pPr>
        <w:pStyle w:val="Heading2"/>
      </w:pPr>
      <w:r>
        <w:rPr>
          <w:rFonts w:ascii="Calibri" w:hAnsi="Calibri" w:eastAsia="Microsoft YaHei"/>
          <w:b/>
          <w:color w:val="1F4D78"/>
          <w:sz w:val="26"/>
        </w:rPr>
        <w:t>3.6 Model judges can close a self-referential loop</w:t>
      </w:r>
    </w:p>
    <w:p>
      <w:r>
        <w:rPr>
          <w:rFonts w:ascii="Calibri" w:hAnsi="Calibri" w:eastAsia="Microsoft YaHei"/>
          <w:b w:val="0"/>
          <w:color w:val="111111"/>
          <w:sz w:val="22"/>
        </w:rPr>
        <w:t>When models generate, critique, and grade outputs under closely related prompts or model families, shared blind spots can masquerade as agreement. Model-based graders are useful, but their error must be measured against human or executable authorities. Statistical significance computed on an unvalidated judge does not repair specification mismatch in the metric itself.</w:t>
      </w:r>
    </w:p>
    <w:p>
      <w:pPr>
        <w:pStyle w:val="Heading2"/>
      </w:pPr>
      <w:r>
        <w:rPr>
          <w:rFonts w:ascii="Calibri" w:hAnsi="Calibri" w:eastAsia="Microsoft YaHei"/>
          <w:b/>
          <w:color w:val="1F4D78"/>
          <w:sz w:val="26"/>
        </w:rPr>
        <w:t>3.7 Average effects are not deployment rules</w:t>
      </w:r>
    </w:p>
    <w:p>
      <w:r>
        <w:rPr>
          <w:rFonts w:ascii="Calibri" w:hAnsi="Calibri" w:eastAsia="Microsoft YaHei"/>
          <w:b w:val="0"/>
          <w:color w:val="111111"/>
          <w:sz w:val="22"/>
        </w:rPr>
        <w:t>A positive average treatment effect can hide a crossover: patching may dominate for sparse edits and fail for dense changes; auditing may help on hard tasks and waste budget on easy ones; additional observations may resolve uncertainty in one state regime and distract in another. Agent engineering needs dose-response curves, interactions, and activation policies—not just one aggregate percentage.</w:t>
      </w:r>
    </w:p>
    <w:p>
      <w:pPr>
        <w:pStyle w:val="Heading2"/>
      </w:pPr>
      <w:r>
        <w:rPr>
          <w:rFonts w:ascii="Calibri" w:hAnsi="Calibri" w:eastAsia="Microsoft YaHei"/>
          <w:b/>
          <w:color w:val="1F4D78"/>
          <w:sz w:val="26"/>
        </w:rPr>
        <w:t>3.8 Much of the 2026 evidence is young and domain-concentrated</w:t>
      </w:r>
    </w:p>
    <w:p>
      <w:r>
        <w:rPr>
          <w:rFonts w:ascii="Calibri" w:hAnsi="Calibri" w:eastAsia="Microsoft YaHei"/>
          <w:b w:val="0"/>
          <w:color w:val="111111"/>
          <w:sz w:val="22"/>
        </w:rPr>
        <w:t>Several of the most relevant studies are recent preprints, and much of the controlled evidence comes from coding agents, synthetic tasks, or RAG. They provide serious reasons to change method, but not permission to declare universal laws. The correct response is replication under stronger contracts, not dismissal and not premature canonization.</w:t>
      </w:r>
    </w:p>
    <w:p>
      <w:pPr>
        <w:pStyle w:val="Heading1"/>
      </w:pPr>
      <w:r>
        <w:rPr>
          <w:rFonts w:ascii="Calibri" w:hAnsi="Calibri" w:eastAsia="Microsoft YaHei"/>
          <w:b/>
          <w:color w:val="2E74B5"/>
          <w:sz w:val="32"/>
        </w:rPr>
        <w:t>4. The deeper conflict: training absorption versus structural persistence</w:t>
      </w:r>
    </w:p>
    <w:p>
      <w:r>
        <w:rPr>
          <w:rFonts w:ascii="Calibri" w:hAnsi="Calibri" w:eastAsia="Microsoft YaHei"/>
          <w:b w:val="0"/>
          <w:color w:val="111111"/>
          <w:sz w:val="22"/>
        </w:rPr>
        <w:t xml:space="preserve">A common implicit prior in agent research is the </w:t>
      </w:r>
      <w:r>
        <w:rPr>
          <w:rFonts w:ascii="Calibri" w:hAnsi="Calibri" w:eastAsia="Microsoft YaHei"/>
          <w:b/>
          <w:color w:val="111111"/>
          <w:sz w:val="22"/>
        </w:rPr>
        <w:t>training-absorption hypothesis</w:t>
      </w:r>
      <w:r>
        <w:rPr>
          <w:rFonts w:ascii="Calibri" w:hAnsi="Calibri" w:eastAsia="Microsoft YaHei"/>
          <w:b w:val="0"/>
          <w:color w:val="111111"/>
          <w:sz w:val="22"/>
        </w:rPr>
        <w:t>:</w:t>
      </w:r>
    </w:p>
    <w:p>
      <w:pPr>
        <w:spacing w:before="100" w:after="180"/>
        <w:jc w:val="center"/>
      </w:pPr>
      <w:r>
        <w:rPr>
          <w:rFonts w:ascii="Cambria Math" w:hAnsi="Cambria Math" w:eastAsia="Microsoft YaHei"/>
          <w:color w:val="0B2545"/>
          <w:sz w:val="21"/>
        </w:rPr>
        <w:t>H_{\mathrm{absorb}}:</w:t>
      </w:r>
      <w:r>
        <w:br/>
      </w:r>
      <w:r>
        <w:rPr>
          <w:rFonts w:ascii="Cambria Math" w:hAnsi="Cambria Math" w:eastAsia="Microsoft YaHei"/>
          <w:color w:val="0B2545"/>
          <w:sz w:val="21"/>
        </w:rPr>
        <w:t>\forall g,\;\exists \theta'\text{ sufficiently capable such that }</w:t>
      </w:r>
      <w:r>
        <w:br/>
      </w:r>
      <w:r>
        <w:rPr>
          <w:rFonts w:ascii="Cambria Math" w:hAnsi="Cambria Math" w:eastAsia="Microsoft YaHei"/>
          <w:color w:val="0B2545"/>
          <w:sz w:val="21"/>
        </w:rPr>
        <w:t>J(\theta',h_0;D,b)\approx J(\theta,g;D,b).</w:t>
      </w:r>
    </w:p>
    <w:p>
      <w:r>
        <w:rPr>
          <w:rFonts w:ascii="Calibri" w:hAnsi="Calibri" w:eastAsia="Microsoft YaHei"/>
          <w:b w:val="0"/>
          <w:color w:val="111111"/>
          <w:sz w:val="22"/>
        </w:rPr>
        <w:t>Here, \(g\) is a governance or harness mechanism and \(h_0\) is a minimal runtime. The hypothesis says that a sufficiently capable future model can reproduce, inside the minimal runtime, the benefit that today's weaker model receives from \(g\). If this were generally true, most runtime experiments would have only short-lived product value.</w:t>
      </w:r>
    </w:p>
    <w:p>
      <w:r>
        <w:rPr>
          <w:rFonts w:ascii="Calibri" w:hAnsi="Calibri" w:eastAsia="Microsoft YaHei"/>
          <w:b w:val="0"/>
          <w:color w:val="111111"/>
          <w:sz w:val="22"/>
        </w:rPr>
        <w:t xml:space="preserve">The alternative is a </w:t>
      </w:r>
      <w:r>
        <w:rPr>
          <w:rFonts w:ascii="Calibri" w:hAnsi="Calibri" w:eastAsia="Microsoft YaHei"/>
          <w:b/>
          <w:color w:val="111111"/>
          <w:sz w:val="22"/>
        </w:rPr>
        <w:t>structural-persistence hypothesis</w:t>
      </w:r>
      <w:r>
        <w:rPr>
          <w:rFonts w:ascii="Calibri" w:hAnsi="Calibri" w:eastAsia="Microsoft YaHei"/>
          <w:b w:val="0"/>
          <w:color w:val="111111"/>
          <w:sz w:val="22"/>
        </w:rPr>
        <w:t>:</w:t>
      </w:r>
    </w:p>
    <w:p>
      <w:pPr>
        <w:spacing w:before="100" w:after="180"/>
        <w:jc w:val="center"/>
      </w:pPr>
      <w:r>
        <w:rPr>
          <w:rFonts w:ascii="Cambria Math" w:hAnsi="Cambria Math" w:eastAsia="Microsoft YaHei"/>
          <w:color w:val="0B2545"/>
          <w:sz w:val="21"/>
        </w:rPr>
        <w:t>H_{\mathrm{persist}}:</w:t>
      </w:r>
      <w:r>
        <w:br/>
      </w:r>
      <w:r>
        <w:rPr>
          <w:rFonts w:ascii="Cambria Math" w:hAnsi="Cambria Math" w:eastAsia="Microsoft YaHei"/>
          <w:color w:val="0B2545"/>
          <w:sz w:val="21"/>
        </w:rPr>
        <w:t>\forall \theta\text{ with bounded resources},\;</w:t>
      </w:r>
      <w:r>
        <w:br/>
      </w:r>
      <w:r>
        <w:rPr>
          <w:rFonts w:ascii="Cambria Math" w:hAnsi="Cambria Math" w:eastAsia="Microsoft YaHei"/>
          <w:color w:val="0B2545"/>
          <w:sz w:val="21"/>
        </w:rPr>
        <w:t>\exists D_i\text{ that exhibits mismatch }M_i.</w:t>
      </w:r>
    </w:p>
    <w:p>
      <w:r>
        <w:rPr>
          <w:rFonts w:ascii="Calibri" w:hAnsi="Calibri" w:eastAsia="Microsoft YaHei"/>
          <w:b w:val="0"/>
          <w:color w:val="111111"/>
          <w:sz w:val="22"/>
        </w:rPr>
        <w:t>For every finite model, finite context, and finite inference budget, an open task space contains regions where one of six structural mismatches reappears. A stronger model may reduce the frequency, severity, or reachable boundary of the mismatch. It does not remove the dimension along which the mismatch is generated.</w:t>
      </w:r>
    </w:p>
    <w:p>
      <w:r>
        <w:rPr>
          <w:rFonts w:ascii="Calibri" w:hAnsi="Calibri" w:eastAsia="Microsoft YaHei"/>
          <w:b w:val="0"/>
          <w:color w:val="111111"/>
          <w:sz w:val="22"/>
        </w:rPr>
        <w:t>The six mismatches occupy different points in a world-to-commit pipeline:</w:t>
      </w:r>
    </w:p>
    <w:p>
      <w:pPr>
        <w:spacing w:before="80" w:after="200" w:line="252" w:lineRule="auto"/>
        <w:ind w:left="317" w:right="115"/>
        <w:jc w:val="left"/>
        <w:shd w:val="clear" w:fill="F2F4F7"/>
        <w:pBdr>
          <w:left w:val="single" w:sz="14" w:space="8" w:color="0A6E75"/>
        </w:pBdr>
      </w:pPr>
      <w:r>
        <w:rPr>
          <w:rFonts w:ascii="Consolas" w:hAnsi="Consolas" w:eastAsia="Microsoft YaHei"/>
          <w:color w:val="1F4D78"/>
          <w:sz w:val="18"/>
        </w:rPr>
        <w:t>world</w:t>
      </w:r>
      <w:r>
        <w:br/>
      </w:r>
      <w:r>
        <w:rPr>
          <w:rFonts w:ascii="Consolas" w:hAnsi="Consolas" w:eastAsia="Microsoft YaHei"/>
          <w:color w:val="1F4D78"/>
          <w:sz w:val="18"/>
        </w:rPr>
        <w:t>→ observation and representation</w:t>
      </w:r>
      <w:r>
        <w:br/>
      </w:r>
      <w:r>
        <w:rPr>
          <w:rFonts w:ascii="Consolas" w:hAnsi="Consolas" w:eastAsia="Microsoft YaHei"/>
          <w:color w:val="1F4D78"/>
          <w:sz w:val="18"/>
        </w:rPr>
        <w:t>→ state identification</w:t>
      </w:r>
      <w:r>
        <w:br/>
      </w:r>
      <w:r>
        <w:rPr>
          <w:rFonts w:ascii="Consolas" w:hAnsi="Consolas" w:eastAsia="Microsoft YaHei"/>
          <w:color w:val="1F4D78"/>
          <w:sz w:val="18"/>
        </w:rPr>
        <w:t>→ capability routing</w:t>
      </w:r>
      <w:r>
        <w:br/>
      </w:r>
      <w:r>
        <w:rPr>
          <w:rFonts w:ascii="Consolas" w:hAnsi="Consolas" w:eastAsia="Microsoft YaHei"/>
          <w:color w:val="1F4D78"/>
          <w:sz w:val="18"/>
        </w:rPr>
        <w:t>→ candidate support</w:t>
      </w:r>
      <w:r>
        <w:br/>
      </w:r>
      <w:r>
        <w:rPr>
          <w:rFonts w:ascii="Consolas" w:hAnsi="Consolas" w:eastAsia="Microsoft YaHei"/>
          <w:color w:val="1F4D78"/>
          <w:sz w:val="18"/>
        </w:rPr>
        <w:t>→ global aggregation</w:t>
      </w:r>
      <w:r>
        <w:br/>
      </w:r>
      <w:r>
        <w:rPr>
          <w:rFonts w:ascii="Consolas" w:hAnsi="Consolas" w:eastAsia="Microsoft YaHei"/>
          <w:color w:val="1F4D78"/>
          <w:sz w:val="18"/>
        </w:rPr>
        <w:t>→ objective evaluation</w:t>
      </w:r>
      <w:r>
        <w:br/>
      </w:r>
      <w:r>
        <w:rPr>
          <w:rFonts w:ascii="Consolas" w:hAnsi="Consolas" w:eastAsia="Microsoft YaHei"/>
          <w:color w:val="1F4D78"/>
          <w:sz w:val="18"/>
        </w:rPr>
        <w:t>→ verified commitment</w:t>
      </w:r>
    </w:p>
    <w:tbl>
      <w:tblPr>
        <w:tblW w:type="dxa" w:w="9360"/>
        <w:jc w:val="left"/>
        <w:tblLayout w:type="fixed"/>
        <w:tblLook w:firstColumn="1" w:firstRow="1" w:lastColumn="0" w:lastRow="0" w:noHBand="0" w:noVBand="1" w:val="04A0"/>
        <w:tblInd w:w="120" w:type="dxa"/>
        <w:tblBorders>
          <w:top w:val="single" w:sz="4" w:color="B8C2CE" w:space="0"/>
          <w:left w:val="single" w:sz="4" w:color="B8C2CE" w:space="0"/>
          <w:bottom w:val="single" w:sz="4" w:color="B8C2CE" w:space="0"/>
          <w:right w:val="single" w:sz="4" w:color="B8C2CE" w:space="0"/>
          <w:insideH w:val="single" w:sz="4" w:color="B8C2CE" w:space="0"/>
          <w:insideV w:val="single" w:sz="4" w:color="B8C2CE" w:space="0"/>
        </w:tblBorders>
      </w:tblPr>
      <w:tblGrid>
        <w:gridCol w:w="1500"/>
        <w:gridCol w:w="2200"/>
        <w:gridCol w:w="2700"/>
        <w:gridCol w:w="2960"/>
      </w:tblGrid>
      <w:tr>
        <w:trPr>
          <w:tblHeader w:val="true"/>
        </w:trPr>
        <w:tc>
          <w:tcPr>
            <w:tcW w:type="dxa" w:w="15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7"/>
              </w:rPr>
              <w:t>Mismatch</w:t>
            </w:r>
          </w:p>
        </w:tc>
        <w:tc>
          <w:tcPr>
            <w:tcW w:type="dxa" w:w="22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7"/>
              </w:rPr>
              <w:t>Structural question</w:t>
            </w:r>
          </w:p>
        </w:tc>
        <w:tc>
          <w:tcPr>
            <w:tcW w:type="dxa" w:w="270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7"/>
              </w:rPr>
              <w:t>What training can improve</w:t>
            </w:r>
          </w:p>
        </w:tc>
        <w:tc>
          <w:tcPr>
            <w:tcW w:type="dxa" w:w="2960"/>
            <w:vAlign w:val="center"/>
            <w:tcMar>
              <w:top w:w="80" w:type="dxa"/>
              <w:start w:w="120" w:type="dxa"/>
              <w:bottom w:w="80" w:type="dxa"/>
              <w:end w:w="120" w:type="dxa"/>
            </w:tcMar>
            <w:shd w:fill="E8EEF5" w:val="clear"/>
          </w:tcPr>
          <w:p>
            <w:pPr>
              <w:spacing w:before="0" w:after="60" w:line="269" w:lineRule="auto"/>
              <w:jc w:val="left"/>
            </w:pPr>
            <w:r>
              <w:rPr>
                <w:rFonts w:ascii="Calibri" w:hAnsi="Calibri" w:eastAsia="Microsoft YaHei"/>
                <w:b/>
                <w:color w:val="0B2545"/>
                <w:sz w:val="17"/>
              </w:rPr>
              <w:t>What training alone cannot guarantee</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Observation-representation</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Did the decisive variable enter, survive, bind to the right entity, and remain usable?</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Compression, extraction, tool use, prior-based inference.</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Recovery of a variable absent from every accessible channel.</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State</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Does the system know which latent world or workflow state it is in?</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Belief tracking and state inference.</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Correct action in observationally identical states that require opposite actions.</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Fitting-boundary</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Is a capability activated exactly where its competence applies?</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Routing on known distributions.</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Permanent calibration under open distribution shift and newly discovered boundaries.</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Support</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Can the deployed search process reach and retain high-value structures?</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Probability mass on known useful patterns.</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Adequate support for every future rare structure under finite search and budget.</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Aggregation</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Do locally plausible parts compose into global value?</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Longer reasoning, planning, and backtracking.</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Elimination of commitment risk in arbitrarily long, coupled, non-locally decomposable tasks.</w:t>
            </w:r>
          </w:p>
        </w:tc>
      </w:tr>
      <w:tr>
        <w:tc>
          <w:tcPr>
            <w:tcW w:type="dxa" w:w="15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Specification</w:t>
            </w:r>
          </w:p>
        </w:tc>
        <w:tc>
          <w:tcPr>
            <w:tcW w:type="dxa" w:w="22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Does the accessible objective match authorized real utility?</w:t>
            </w:r>
          </w:p>
        </w:tc>
        <w:tc>
          <w:tcPr>
            <w:tcW w:type="dxa" w:w="270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Prediction of common preferences and implicit norms.</w:t>
            </w:r>
          </w:p>
        </w:tc>
        <w:tc>
          <w:tcPr>
            <w:tcW w:type="dxa" w:w="2960"/>
            <w:vAlign w:val="center"/>
            <w:tcMar>
              <w:top w:w="80" w:type="dxa"/>
              <w:start w:w="120" w:type="dxa"/>
              <w:bottom w:w="80" w:type="dxa"/>
              <w:end w:w="120" w:type="dxa"/>
            </w:tcMar>
          </w:tcPr>
          <w:p>
            <w:pPr>
              <w:spacing w:before="0" w:after="60" w:line="269" w:lineRule="auto"/>
              <w:jc w:val="left"/>
            </w:pPr>
            <w:r>
              <w:rPr>
                <w:rFonts w:ascii="Calibri" w:hAnsi="Calibri" w:eastAsia="Microsoft YaHei"/>
                <w:b w:val="0"/>
                <w:color w:val="111111"/>
                <w:sz w:val="17"/>
              </w:rPr>
              <w:t>Knowledge of unexpressed, changing, or authority-dependent utility.</w:t>
            </w:r>
          </w:p>
        </w:tc>
      </w:tr>
    </w:tbl>
    <w:p>
      <w:pPr>
        <w:spacing w:after="80"/>
      </w:pPr>
    </w:p>
    <w:p>
      <w:r>
        <w:rPr>
          <w:rFonts w:ascii="Calibri" w:hAnsi="Calibri" w:eastAsia="Microsoft YaHei"/>
          <w:b w:val="0"/>
          <w:color w:val="111111"/>
          <w:sz w:val="22"/>
        </w:rPr>
        <w:t>The claim must be bounded carefully. It is not that every concrete mismatch instance is forever unsolvable by training. A future model may solve today's benchmark, memorize today's edge cases, or internalize today's audit behavior. The claim is that solving a fixed instance does not remove the failure class from an open task space.</w:t>
      </w:r>
    </w:p>
    <w:p>
      <w:r>
        <w:rPr>
          <w:rFonts w:ascii="Calibri" w:hAnsi="Calibri" w:eastAsia="Microsoft YaHei"/>
          <w:b w:val="0"/>
          <w:color w:val="111111"/>
          <w:sz w:val="22"/>
        </w:rPr>
        <w:t xml:space="preserve">Training can absorb a governance </w:t>
      </w:r>
      <w:r>
        <w:rPr>
          <w:rFonts w:ascii="Calibri" w:hAnsi="Calibri" w:eastAsia="Microsoft YaHei"/>
          <w:b/>
          <w:color w:val="111111"/>
          <w:sz w:val="22"/>
        </w:rPr>
        <w:t>policy</w:t>
      </w:r>
      <w:r>
        <w:rPr>
          <w:rFonts w:ascii="Calibri" w:hAnsi="Calibri" w:eastAsia="Microsoft YaHei"/>
          <w:b w:val="0"/>
          <w:color w:val="111111"/>
          <w:sz w:val="22"/>
        </w:rPr>
        <w:t xml:space="preserve">—for example, when to query, verify, patch, or escalate. It cannot create missing observations, turn a faulty verifier into a true oracle, make text context authoritative over an external system, manufacture user authorization, or guarantee atomic commit and rollback by assertion alone. Those are governance </w:t>
      </w:r>
      <w:r>
        <w:rPr>
          <w:rFonts w:ascii="Calibri" w:hAnsi="Calibri" w:eastAsia="Microsoft YaHei"/>
          <w:b/>
          <w:color w:val="111111"/>
          <w:sz w:val="22"/>
        </w:rPr>
        <w:t>resources</w:t>
      </w:r>
      <w:r>
        <w:rPr>
          <w:rFonts w:ascii="Calibri" w:hAnsi="Calibri" w:eastAsia="Microsoft YaHei"/>
          <w:b w:val="0"/>
          <w:color w:val="111111"/>
          <w:sz w:val="22"/>
        </w:rPr>
        <w:t xml:space="preserve"> and system semantics, wherever the product chooses to package them.</w:t>
      </w:r>
    </w:p>
    <w:p>
      <w:pPr>
        <w:pStyle w:val="Heading1"/>
      </w:pPr>
      <w:r>
        <w:rPr>
          <w:rFonts w:ascii="Calibri" w:hAnsi="Calibri" w:eastAsia="Microsoft YaHei"/>
          <w:b/>
          <w:color w:val="2E74B5"/>
          <w:sz w:val="32"/>
        </w:rPr>
        <w:t>5. A six-mismatch controlled-experiment program</w:t>
      </w:r>
    </w:p>
    <w:p>
      <w:r>
        <w:rPr>
          <w:rFonts w:ascii="Calibri" w:hAnsi="Calibri" w:eastAsia="Microsoft YaHei"/>
          <w:b w:val="0"/>
          <w:color w:val="111111"/>
          <w:sz w:val="22"/>
        </w:rPr>
        <w:t>The six mismatches do more than classify failures. They define experimental manipulations, expected mediators, outcome measures, and falsifiers. Each experiment below should be run with paired task seeds, isolated environments, repeated trials, fixed budgets, and versioned model/harness contracts.</w:t>
      </w:r>
    </w:p>
    <w:p>
      <w:pPr>
        <w:pStyle w:val="Heading2"/>
      </w:pPr>
      <w:r>
        <w:rPr>
          <w:rFonts w:ascii="Calibri" w:hAnsi="Calibri" w:eastAsia="Microsoft YaHei"/>
          <w:b/>
          <w:color w:val="1F4D78"/>
          <w:sz w:val="26"/>
        </w:rPr>
        <w:t>5.1 Observation-representation mismatch: manipulate the channel, not the answer prompt</w:t>
      </w:r>
    </w:p>
    <w:p>
      <w:r>
        <w:rPr>
          <w:rFonts w:ascii="Calibri" w:hAnsi="Calibri" w:eastAsia="Microsoft YaHei"/>
          <w:b/>
          <w:color w:val="111111"/>
          <w:sz w:val="22"/>
        </w:rPr>
        <w:t>Question.</w:t>
      </w:r>
      <w:r>
        <w:rPr>
          <w:rFonts w:ascii="Calibri" w:hAnsi="Calibri" w:eastAsia="Microsoft YaHei"/>
          <w:b w:val="0"/>
          <w:color w:val="111111"/>
          <w:sz w:val="22"/>
        </w:rPr>
        <w:t xml:space="preserve"> Does adding or preserving a decisive variable repair performance because it increases usable information, rather than because it merely lengthens the prompt?</w:t>
      </w:r>
    </w:p>
    <w:p>
      <w:r>
        <w:rPr>
          <w:rFonts w:ascii="Calibri" w:hAnsi="Calibri" w:eastAsia="Microsoft YaHei"/>
          <w:b/>
          <w:color w:val="111111"/>
          <w:sz w:val="22"/>
        </w:rPr>
        <w:t>Design.</w:t>
      </w:r>
      <w:r>
        <w:rPr>
          <w:rFonts w:ascii="Calibri" w:hAnsi="Calibri" w:eastAsia="Microsoft YaHei"/>
          <w:b w:val="0"/>
          <w:color w:val="111111"/>
          <w:sz w:val="22"/>
        </w:rPr>
        <w:t xml:space="preserve"> Construct paired tasks whose visible surface is identical except for a hidden variable that changes the correct action. Compare: (A) lossy or absent channel; (B) channel with the decisive variable; (C) equal-length irrelevant enrichment as a negative control; and, where useful, (D) the variable present but incorrectly bound to an entity or timestamp. Keep model, action interface, budget, and verifier fixed.</w:t>
      </w:r>
    </w:p>
    <w:p>
      <w:r>
        <w:rPr>
          <w:rFonts w:ascii="Calibri" w:hAnsi="Calibri" w:eastAsia="Microsoft YaHei"/>
          <w:b/>
          <w:color w:val="111111"/>
          <w:sz w:val="22"/>
        </w:rPr>
        <w:t>Measurements.</w:t>
      </w:r>
      <w:r>
        <w:rPr>
          <w:rFonts w:ascii="Calibri" w:hAnsi="Calibri" w:eastAsia="Microsoft YaHei"/>
          <w:b w:val="0"/>
          <w:color w:val="111111"/>
          <w:sz w:val="22"/>
        </w:rPr>
        <w:t xml:space="preserve"> State discrimination accuracy, provenance/binding accuracy, downstream decision success, abstention quality, token cost, and the mediation path from channel availability to correct action.</w:t>
      </w:r>
    </w:p>
    <w:p>
      <w:r>
        <w:rPr>
          <w:rFonts w:ascii="Calibri" w:hAnsi="Calibri" w:eastAsia="Microsoft YaHei"/>
          <w:b/>
          <w:color w:val="111111"/>
          <w:sz w:val="22"/>
        </w:rPr>
        <w:t>Falsifier.</w:t>
      </w:r>
      <w:r>
        <w:rPr>
          <w:rFonts w:ascii="Calibri" w:hAnsi="Calibri" w:eastAsia="Microsoft YaHei"/>
          <w:b w:val="0"/>
          <w:color w:val="111111"/>
          <w:sz w:val="22"/>
        </w:rPr>
        <w:t xml:space="preserve"> If relevant and irrelevant enrichment produce the same gain, or if the agent succeeds without accessing the variable, the information-channel explanation is not established.</w:t>
      </w:r>
    </w:p>
    <w:p>
      <w:r>
        <w:rPr>
          <w:rFonts w:ascii="Calibri" w:hAnsi="Calibri" w:eastAsia="Microsoft YaHei"/>
          <w:b/>
          <w:color w:val="111111"/>
          <w:sz w:val="22"/>
        </w:rPr>
        <w:t>Diagnostic boundary.</w:t>
      </w:r>
      <w:r>
        <w:rPr>
          <w:rFonts w:ascii="Calibri" w:hAnsi="Calibri" w:eastAsia="Microsoft YaHei"/>
          <w:b w:val="0"/>
          <w:color w:val="111111"/>
          <w:sz w:val="22"/>
        </w:rPr>
        <w:t xml:space="preserve"> Use this label only when the decisive variable is absent, degraded, unbound, stale, or unusable in the accessible representation. If the variable is available but several latent states remain plausible, the primary diagnosis moves to state mismatch.</w:t>
      </w:r>
    </w:p>
    <w:p>
      <w:r>
        <w:rPr>
          <w:rFonts w:ascii="Calibri" w:hAnsi="Calibri" w:eastAsia="Microsoft YaHei"/>
          <w:b/>
          <w:color w:val="111111"/>
          <w:sz w:val="22"/>
        </w:rPr>
        <w:t>Transfer test.</w:t>
      </w:r>
      <w:r>
        <w:rPr>
          <w:rFonts w:ascii="Calibri" w:hAnsi="Calibri" w:eastAsia="Microsoft YaHei"/>
          <w:b w:val="0"/>
          <w:color w:val="111111"/>
          <w:sz w:val="22"/>
        </w:rPr>
        <w:t xml:space="preserve"> Increase loss severity, freshness demands, modality, and context distance across model generations. The expected transferable object is the channel condition and mediation path, not a fixed percentage gain.</w:t>
      </w:r>
    </w:p>
    <w:p>
      <w:pPr>
        <w:pStyle w:val="Heading2"/>
      </w:pPr>
      <w:r>
        <w:rPr>
          <w:rFonts w:ascii="Calibri" w:hAnsi="Calibri" w:eastAsia="Microsoft YaHei"/>
          <w:b/>
          <w:color w:val="1F4D78"/>
          <w:sz w:val="26"/>
        </w:rPr>
        <w:t>5.2 State mismatch: separate remembered narrative from authoritative state</w:t>
      </w:r>
    </w:p>
    <w:p>
      <w:r>
        <w:rPr>
          <w:rFonts w:ascii="Calibri" w:hAnsi="Calibri" w:eastAsia="Microsoft YaHei"/>
          <w:b/>
          <w:color w:val="111111"/>
          <w:sz w:val="22"/>
        </w:rPr>
        <w:t>Question.</w:t>
      </w:r>
      <w:r>
        <w:rPr>
          <w:rFonts w:ascii="Calibri" w:hAnsi="Calibri" w:eastAsia="Microsoft YaHei"/>
          <w:b w:val="0"/>
          <w:color w:val="111111"/>
          <w:sz w:val="22"/>
        </w:rPr>
        <w:t xml:space="preserve"> Does an explicit state surface and transition contract reduce errors that natural-language context cannot reliably govern?</w:t>
      </w:r>
    </w:p>
    <w:p>
      <w:r>
        <w:rPr>
          <w:rFonts w:ascii="Calibri" w:hAnsi="Calibri" w:eastAsia="Microsoft YaHei"/>
          <w:b/>
          <w:color w:val="111111"/>
          <w:sz w:val="22"/>
        </w:rPr>
        <w:t>Design.</w:t>
      </w:r>
      <w:r>
        <w:rPr>
          <w:rFonts w:ascii="Calibri" w:hAnsi="Calibri" w:eastAsia="Microsoft YaHei"/>
          <w:b w:val="0"/>
          <w:color w:val="111111"/>
          <w:sz w:val="22"/>
        </w:rPr>
        <w:t xml:space="preserve"> Create episodes with the same conversational history but different authoritative environment states. Cross two factors: state source (context-only versus queryable hard state) and transition control (free-form action versus typed precondition/commit contract). Include stale-context and partial-commit conditions. Use a clean environment per trial.</w:t>
      </w:r>
    </w:p>
    <w:p>
      <w:r>
        <w:rPr>
          <w:rFonts w:ascii="Calibri" w:hAnsi="Calibri" w:eastAsia="Microsoft YaHei"/>
          <w:b/>
          <w:color w:val="111111"/>
          <w:sz w:val="22"/>
        </w:rPr>
        <w:t>Measurements.</w:t>
      </w:r>
      <w:r>
        <w:rPr>
          <w:rFonts w:ascii="Calibri" w:hAnsi="Calibri" w:eastAsia="Microsoft YaHei"/>
          <w:b w:val="0"/>
          <w:color w:val="111111"/>
          <w:sz w:val="22"/>
        </w:rPr>
        <w:t xml:space="preserve"> Invalid transition rate, false-completion rate, stale-read rate, recovery success, rollback integrity, and agreement between claimed, verified, and committed state.</w:t>
      </w:r>
    </w:p>
    <w:p>
      <w:r>
        <w:rPr>
          <w:rFonts w:ascii="Calibri" w:hAnsi="Calibri" w:eastAsia="Microsoft YaHei"/>
          <w:b/>
          <w:color w:val="111111"/>
          <w:sz w:val="22"/>
        </w:rPr>
        <w:t>Falsifier.</w:t>
      </w:r>
      <w:r>
        <w:rPr>
          <w:rFonts w:ascii="Calibri" w:hAnsi="Calibri" w:eastAsia="Microsoft YaHei"/>
          <w:b w:val="0"/>
          <w:color w:val="111111"/>
          <w:sz w:val="22"/>
        </w:rPr>
        <w:t xml:space="preserve"> If hard-state access does not improve state discrimination or if gains vanish when context length is matched, the proposed state-authority mechanism needs revision.</w:t>
      </w:r>
    </w:p>
    <w:p>
      <w:r>
        <w:rPr>
          <w:rFonts w:ascii="Calibri" w:hAnsi="Calibri" w:eastAsia="Microsoft YaHei"/>
          <w:b/>
          <w:color w:val="111111"/>
          <w:sz w:val="22"/>
        </w:rPr>
        <w:t>Diagnostic boundary.</w:t>
      </w:r>
      <w:r>
        <w:rPr>
          <w:rFonts w:ascii="Calibri" w:hAnsi="Calibri" w:eastAsia="Microsoft YaHei"/>
          <w:b w:val="0"/>
          <w:color w:val="111111"/>
          <w:sz w:val="22"/>
        </w:rPr>
        <w:t xml:space="preserve"> The authoritative state must be available through some valid channel. If the environment never exposes it, the upstream failure is observation-representation mismatch; if the state is known but an illegal action is still selected, action or commit governance may be the closer mechanism target.</w:t>
      </w:r>
    </w:p>
    <w:p>
      <w:r>
        <w:rPr>
          <w:rFonts w:ascii="Calibri" w:hAnsi="Calibri" w:eastAsia="Microsoft YaHei"/>
          <w:b/>
          <w:color w:val="111111"/>
          <w:sz w:val="22"/>
        </w:rPr>
        <w:t>Transfer test.</w:t>
      </w:r>
      <w:r>
        <w:rPr>
          <w:rFonts w:ascii="Calibri" w:hAnsi="Calibri" w:eastAsia="Microsoft YaHei"/>
          <w:b w:val="0"/>
          <w:color w:val="111111"/>
          <w:sz w:val="22"/>
        </w:rPr>
        <w:t xml:space="preserve"> Move from toy state machines to files, databases, tickets, calendars, and multi-agent ownership. Stronger models may make fewer mistakes, but the distinction between belief and authority remains testable.</w:t>
      </w:r>
    </w:p>
    <w:p>
      <w:pPr>
        <w:pStyle w:val="Heading2"/>
      </w:pPr>
      <w:r>
        <w:rPr>
          <w:rFonts w:ascii="Calibri" w:hAnsi="Calibri" w:eastAsia="Microsoft YaHei"/>
          <w:b/>
          <w:color w:val="1F4D78"/>
          <w:sz w:val="26"/>
        </w:rPr>
        <w:t>5.3 Fitting-boundary mismatch: measure routing calibration across a boundary grid</w:t>
      </w:r>
    </w:p>
    <w:p>
      <w:r>
        <w:rPr>
          <w:rFonts w:ascii="Calibri" w:hAnsi="Calibri" w:eastAsia="Microsoft YaHei"/>
          <w:b/>
          <w:color w:val="111111"/>
          <w:sz w:val="22"/>
        </w:rPr>
        <w:t>Question.</w:t>
      </w:r>
      <w:r>
        <w:rPr>
          <w:rFonts w:ascii="Calibri" w:hAnsi="Calibri" w:eastAsia="Microsoft YaHei"/>
          <w:b w:val="0"/>
          <w:color w:val="111111"/>
          <w:sz w:val="22"/>
        </w:rPr>
        <w:t xml:space="preserve"> Does a capability fail because it is unavailable, or because it is activated in the wrong regime?</w:t>
      </w:r>
    </w:p>
    <w:p>
      <w:r>
        <w:rPr>
          <w:rFonts w:ascii="Calibri" w:hAnsi="Calibri" w:eastAsia="Microsoft YaHei"/>
          <w:b/>
          <w:color w:val="111111"/>
          <w:sz w:val="22"/>
        </w:rPr>
        <w:t>Design.</w:t>
      </w:r>
      <w:r>
        <w:rPr>
          <w:rFonts w:ascii="Calibri" w:hAnsi="Calibri" w:eastAsia="Microsoft YaHei"/>
          <w:b w:val="0"/>
          <w:color w:val="111111"/>
          <w:sz w:val="22"/>
        </w:rPr>
        <w:t xml:space="preserve"> Build a boundary grid with clear in-domain cases, clear out-of-domain cases, and graded near-boundary cases. Compare ungated activation, a learned router, evidence-conditioned routing, and typed abstention/escalation. Hold the underlying specialist capability fixed so the experiment tests routing rather than retraining.</w:t>
      </w:r>
    </w:p>
    <w:p>
      <w:r>
        <w:rPr>
          <w:rFonts w:ascii="Calibri" w:hAnsi="Calibri" w:eastAsia="Microsoft YaHei"/>
          <w:b/>
          <w:color w:val="111111"/>
          <w:sz w:val="22"/>
        </w:rPr>
        <w:t>Measurements.</w:t>
      </w:r>
      <w:r>
        <w:rPr>
          <w:rFonts w:ascii="Calibri" w:hAnsi="Calibri" w:eastAsia="Microsoft YaHei"/>
          <w:b w:val="0"/>
          <w:color w:val="111111"/>
          <w:sz w:val="22"/>
        </w:rPr>
        <w:t xml:space="preserve"> True- and false-activation rates, selective risk, calibration error, utility under asymmetric error costs, coverage, and boundary drift on holdout families.</w:t>
      </w:r>
    </w:p>
    <w:p>
      <w:r>
        <w:rPr>
          <w:rFonts w:ascii="Calibri" w:hAnsi="Calibri" w:eastAsia="Microsoft YaHei"/>
          <w:b/>
          <w:color w:val="111111"/>
          <w:sz w:val="22"/>
        </w:rPr>
        <w:t>Falsifier.</w:t>
      </w:r>
      <w:r>
        <w:rPr>
          <w:rFonts w:ascii="Calibri" w:hAnsi="Calibri" w:eastAsia="Microsoft YaHei"/>
          <w:b w:val="0"/>
          <w:color w:val="111111"/>
          <w:sz w:val="22"/>
        </w:rPr>
        <w:t xml:space="preserve"> If the specialist itself lacks competence inside the intended domain, a routing intervention cannot be credited. Oracle capability tests must precede router tests.</w:t>
      </w:r>
    </w:p>
    <w:p>
      <w:r>
        <w:rPr>
          <w:rFonts w:ascii="Calibri" w:hAnsi="Calibri" w:eastAsia="Microsoft YaHei"/>
          <w:b/>
          <w:color w:val="111111"/>
          <w:sz w:val="22"/>
        </w:rPr>
        <w:t>Diagnostic boundary.</w:t>
      </w:r>
      <w:r>
        <w:rPr>
          <w:rFonts w:ascii="Calibri" w:hAnsi="Calibri" w:eastAsia="Microsoft YaHei"/>
          <w:b w:val="0"/>
          <w:color w:val="111111"/>
          <w:sz w:val="22"/>
        </w:rPr>
        <w:t xml:space="preserve"> Fitting-boundary mismatch requires a capability that succeeds in its intended regime under an oracle route. If the right route is selected but high-value candidates still rarely appear, the remaining bottleneck is support rather than routing.</w:t>
      </w:r>
    </w:p>
    <w:p>
      <w:r>
        <w:rPr>
          <w:rFonts w:ascii="Calibri" w:hAnsi="Calibri" w:eastAsia="Microsoft YaHei"/>
          <w:b/>
          <w:color w:val="111111"/>
          <w:sz w:val="22"/>
        </w:rPr>
        <w:t>Transfer test.</w:t>
      </w:r>
      <w:r>
        <w:rPr>
          <w:rFonts w:ascii="Calibri" w:hAnsi="Calibri" w:eastAsia="Microsoft YaHei"/>
          <w:b w:val="0"/>
          <w:color w:val="111111"/>
          <w:sz w:val="22"/>
        </w:rPr>
        <w:t xml:space="preserve"> Repeat on new task families and models. The main scientific object is the relationship among trigger evidence, competence boundary, and error cost—not one universal threshold.</w:t>
      </w:r>
    </w:p>
    <w:p>
      <w:pPr>
        <w:pStyle w:val="Heading2"/>
      </w:pPr>
      <w:r>
        <w:rPr>
          <w:rFonts w:ascii="Calibri" w:hAnsi="Calibri" w:eastAsia="Microsoft YaHei"/>
          <w:b/>
          <w:color w:val="1F4D78"/>
          <w:sz w:val="26"/>
        </w:rPr>
        <w:t>5.4 Support mismatch: compare control-space search with output-space resampling</w:t>
      </w:r>
    </w:p>
    <w:p>
      <w:r>
        <w:rPr>
          <w:rFonts w:ascii="Calibri" w:hAnsi="Calibri" w:eastAsia="Microsoft YaHei"/>
          <w:b/>
          <w:color w:val="111111"/>
          <w:sz w:val="22"/>
        </w:rPr>
        <w:t>Question.</w:t>
      </w:r>
      <w:r>
        <w:rPr>
          <w:rFonts w:ascii="Calibri" w:hAnsi="Calibri" w:eastAsia="Microsoft YaHei"/>
          <w:b w:val="0"/>
          <w:color w:val="111111"/>
          <w:sz w:val="22"/>
        </w:rPr>
        <w:t xml:space="preserve"> Is the high-value structure absent because the model cannot express it, or because the deployed search process rarely reaches, retains, or recognizes it?</w:t>
      </w:r>
    </w:p>
    <w:p>
      <w:r>
        <w:rPr>
          <w:rFonts w:ascii="Calibri" w:hAnsi="Calibri" w:eastAsia="Microsoft YaHei"/>
          <w:b/>
          <w:color w:val="111111"/>
          <w:sz w:val="22"/>
        </w:rPr>
        <w:t>Design.</w:t>
      </w:r>
      <w:r>
        <w:rPr>
          <w:rFonts w:ascii="Calibri" w:hAnsi="Calibri" w:eastAsia="Microsoft YaHei"/>
          <w:b w:val="0"/>
          <w:color w:val="111111"/>
          <w:sz w:val="22"/>
        </w:rPr>
        <w:t xml:space="preserve"> Under a matched token and call budget, compare direct generation, independent best-of-\(N\), critique-and-regenerate, and control-space interventions that change decomposition, representation, constraints, candidate topology, or deterministic operators. Include an oracle-supplied candidate condition to test whether the verifier can recognize the target once present.</w:t>
      </w:r>
    </w:p>
    <w:p>
      <w:r>
        <w:rPr>
          <w:rFonts w:ascii="Calibri" w:hAnsi="Calibri" w:eastAsia="Microsoft YaHei"/>
          <w:b/>
          <w:color w:val="111111"/>
          <w:sz w:val="22"/>
        </w:rPr>
        <w:t>Measurements.</w:t>
      </w:r>
      <w:r>
        <w:rPr>
          <w:rFonts w:ascii="Calibri" w:hAnsi="Calibri" w:eastAsia="Microsoft YaHei"/>
          <w:b w:val="0"/>
          <w:color w:val="111111"/>
          <w:sz w:val="22"/>
        </w:rPr>
        <w:t xml:space="preserve"> Probability that any valid high-value structure appears, time-to-first-coverage, structural diversity, retention through pruning, verifier recall, best-found utility, and marginal value per token.</w:t>
      </w:r>
    </w:p>
    <w:p>
      <w:r>
        <w:rPr>
          <w:rFonts w:ascii="Calibri" w:hAnsi="Calibri" w:eastAsia="Microsoft YaHei"/>
          <w:b/>
          <w:color w:val="111111"/>
          <w:sz w:val="22"/>
        </w:rPr>
        <w:t>Falsifier.</w:t>
      </w:r>
      <w:r>
        <w:rPr>
          <w:rFonts w:ascii="Calibri" w:hAnsi="Calibri" w:eastAsia="Microsoft YaHei"/>
          <w:b w:val="0"/>
          <w:color w:val="111111"/>
          <w:sz w:val="22"/>
        </w:rPr>
        <w:t xml:space="preserve"> If an oracle candidate is consistently rejected, the bottleneck may be recognition or specification rather than support. If more independent samples close the gap at matched cost, a specialized control-space mechanism has not earned its complexity.</w:t>
      </w:r>
    </w:p>
    <w:p>
      <w:r>
        <w:rPr>
          <w:rFonts w:ascii="Calibri" w:hAnsi="Calibri" w:eastAsia="Microsoft YaHei"/>
          <w:b/>
          <w:color w:val="111111"/>
          <w:sz w:val="22"/>
        </w:rPr>
        <w:t>Diagnostic boundary.</w:t>
      </w:r>
      <w:r>
        <w:rPr>
          <w:rFonts w:ascii="Calibri" w:hAnsi="Calibri" w:eastAsia="Microsoft YaHei"/>
          <w:b w:val="0"/>
          <w:color w:val="111111"/>
          <w:sz w:val="22"/>
        </w:rPr>
        <w:t xml:space="preserve"> Support mismatch is a reachability or retention failure. If the required local structures appear reliably but fail when combined, the primary failure has moved downstream to aggregation.</w:t>
      </w:r>
    </w:p>
    <w:p>
      <w:r>
        <w:rPr>
          <w:rFonts w:ascii="Calibri" w:hAnsi="Calibri" w:eastAsia="Microsoft YaHei"/>
          <w:b/>
          <w:color w:val="111111"/>
          <w:sz w:val="22"/>
        </w:rPr>
        <w:t>Transfer test.</w:t>
      </w:r>
      <w:r>
        <w:rPr>
          <w:rFonts w:ascii="Calibri" w:hAnsi="Calibri" w:eastAsia="Microsoft YaHei"/>
          <w:b w:val="0"/>
          <w:color w:val="111111"/>
          <w:sz w:val="22"/>
        </w:rPr>
        <w:t xml:space="preserve"> Vary rarity, compositional depth, and search budget. The expected crossover is central: control-space search should matter most when naive effective support is low.</w:t>
      </w:r>
    </w:p>
    <w:p>
      <w:pPr>
        <w:pStyle w:val="Heading2"/>
      </w:pPr>
      <w:r>
        <w:rPr>
          <w:rFonts w:ascii="Calibri" w:hAnsi="Calibri" w:eastAsia="Microsoft YaHei"/>
          <w:b/>
          <w:color w:val="1F4D78"/>
          <w:sz w:val="26"/>
        </w:rPr>
        <w:t>5.5 Aggregation mismatch: vary coupling and commitment surface</w:t>
      </w:r>
    </w:p>
    <w:p>
      <w:r>
        <w:rPr>
          <w:rFonts w:ascii="Calibri" w:hAnsi="Calibri" w:eastAsia="Microsoft YaHei"/>
          <w:b/>
          <w:color w:val="111111"/>
          <w:sz w:val="22"/>
        </w:rPr>
        <w:t>Question.</w:t>
      </w:r>
      <w:r>
        <w:rPr>
          <w:rFonts w:ascii="Calibri" w:hAnsi="Calibri" w:eastAsia="Microsoft YaHei"/>
          <w:b w:val="0"/>
          <w:color w:val="111111"/>
          <w:sz w:val="22"/>
        </w:rPr>
        <w:t xml:space="preserve"> When correct local pieces exist, which runtime structures preserve them while producing a globally valid object or trajectory?</w:t>
      </w:r>
    </w:p>
    <w:p>
      <w:r>
        <w:rPr>
          <w:rFonts w:ascii="Calibri" w:hAnsi="Calibri" w:eastAsia="Microsoft YaHei"/>
          <w:b/>
          <w:color w:val="111111"/>
          <w:sz w:val="22"/>
        </w:rPr>
        <w:t>Design.</w:t>
      </w:r>
      <w:r>
        <w:rPr>
          <w:rFonts w:ascii="Calibri" w:hAnsi="Calibri" w:eastAsia="Microsoft YaHei"/>
          <w:b w:val="0"/>
          <w:color w:val="111111"/>
          <w:sz w:val="22"/>
        </w:rPr>
        <w:t xml:space="preserve"> Factor task coupling (independent to globally dependent), edit density (sparse to dense), delivery interface (patch versus full rewrite), and repair horizon (local step versus full-stage replan). Fix the plan, source object, verifier, model, and budget where the target mechanism is delivery; separately vary planning when planning is the object of study. Include deterministic execution and copy controls.</w:t>
      </w:r>
    </w:p>
    <w:p>
      <w:r>
        <w:rPr>
          <w:rFonts w:ascii="Calibri" w:hAnsi="Calibri" w:eastAsia="Microsoft YaHei"/>
          <w:b/>
          <w:color w:val="111111"/>
          <w:sz w:val="22"/>
        </w:rPr>
        <w:t>Measurements.</w:t>
      </w:r>
      <w:r>
        <w:rPr>
          <w:rFonts w:ascii="Calibri" w:hAnsi="Calibri" w:eastAsia="Microsoft YaHei"/>
          <w:b w:val="0"/>
          <w:color w:val="111111"/>
          <w:sz w:val="22"/>
        </w:rPr>
        <w:t xml:space="preserve"> Global invariant satisfaction, preservation of untouched regions, conflict rate, error propagation depth, strict success within budget, recovery cost, and patch/rewrite or step/stage crossover points.</w:t>
      </w:r>
    </w:p>
    <w:p>
      <w:r>
        <w:rPr>
          <w:rFonts w:ascii="Calibri" w:hAnsi="Calibri" w:eastAsia="Microsoft YaHei"/>
          <w:b/>
          <w:color w:val="111111"/>
          <w:sz w:val="22"/>
        </w:rPr>
        <w:t>Falsifier.</w:t>
      </w:r>
      <w:r>
        <w:rPr>
          <w:rFonts w:ascii="Calibri" w:hAnsi="Calibri" w:eastAsia="Microsoft YaHei"/>
          <w:b w:val="0"/>
          <w:color w:val="111111"/>
          <w:sz w:val="22"/>
        </w:rPr>
        <w:t xml:space="preserve"> A patch advantage under sparse change does not prove universal patch superiority. If it disappears when the plan is correct and budgets are matched, the earlier result was probably a planning or resource confound. The repository's </w:t>
      </w:r>
      <w:hyperlink r:id="rId31">
        <w:r>
          <w:rPr>
            <w:rFonts w:ascii="Calibri" w:hAnsi="Calibri" w:eastAsia="Microsoft YaHei"/>
            <w:color w:val="2E74B5"/>
            <w:u w:val="single"/>
          </w:rPr>
          <w:t>patch-versus-rewrite study</w:t>
        </w:r>
      </w:hyperlink>
      <w:r>
        <w:rPr>
          <w:rFonts w:ascii="Calibri" w:hAnsi="Calibri" w:eastAsia="Microsoft YaHei"/>
          <w:b w:val="0"/>
          <w:color w:val="111111"/>
          <w:sz w:val="22"/>
        </w:rPr>
        <w:t xml:space="preserve"> is an example of narrowing this claim with oracle-plan, copy, and independent budget controls.</w:t>
      </w:r>
    </w:p>
    <w:p>
      <w:r>
        <w:rPr>
          <w:rFonts w:ascii="Calibri" w:hAnsi="Calibri" w:eastAsia="Microsoft YaHei"/>
          <w:b/>
          <w:color w:val="111111"/>
          <w:sz w:val="22"/>
        </w:rPr>
        <w:t>Diagnostic boundary.</w:t>
      </w:r>
      <w:r>
        <w:rPr>
          <w:rFonts w:ascii="Calibri" w:hAnsi="Calibri" w:eastAsia="Microsoft YaHei"/>
          <w:b w:val="0"/>
          <w:color w:val="111111"/>
          <w:sz w:val="22"/>
        </w:rPr>
        <w:t xml:space="preserve"> Aggregation mismatch presupposes usable local parts, constraints, or evidence that the composition process fails to preserve. If those parts never enter the candidate set, the upstream bottleneck is support; if the system optimizes the wrong global criterion, it is specification.</w:t>
      </w:r>
    </w:p>
    <w:p>
      <w:r>
        <w:rPr>
          <w:rFonts w:ascii="Calibri" w:hAnsi="Calibri" w:eastAsia="Microsoft YaHei"/>
          <w:b/>
          <w:color w:val="111111"/>
          <w:sz w:val="22"/>
        </w:rPr>
        <w:t>Transfer test.</w:t>
      </w:r>
      <w:r>
        <w:rPr>
          <w:rFonts w:ascii="Calibri" w:hAnsi="Calibri" w:eastAsia="Microsoft YaHei"/>
          <w:b w:val="0"/>
          <w:color w:val="111111"/>
          <w:sz w:val="22"/>
        </w:rPr>
        <w:t xml:space="preserve"> Repeat across artifact types, model families, and coupling scales. Program semantics can preserve a structural invariant—patches do not recommit untouched regions—even when empirical effect sizes change.</w:t>
      </w:r>
    </w:p>
    <w:p>
      <w:pPr>
        <w:pStyle w:val="Heading2"/>
      </w:pPr>
      <w:r>
        <w:rPr>
          <w:rFonts w:ascii="Calibri" w:hAnsi="Calibri" w:eastAsia="Microsoft YaHei"/>
          <w:b/>
          <w:color w:val="1F4D78"/>
          <w:sz w:val="26"/>
        </w:rPr>
        <w:t>5.6 Specification mismatch: manipulate objective information and authority</w:t>
      </w:r>
    </w:p>
    <w:p>
      <w:r>
        <w:rPr>
          <w:rFonts w:ascii="Calibri" w:hAnsi="Calibri" w:eastAsia="Microsoft YaHei"/>
          <w:b/>
          <w:color w:val="111111"/>
          <w:sz w:val="22"/>
        </w:rPr>
        <w:t>Question.</w:t>
      </w:r>
      <w:r>
        <w:rPr>
          <w:rFonts w:ascii="Calibri" w:hAnsi="Calibri" w:eastAsia="Microsoft YaHei"/>
          <w:b w:val="0"/>
          <w:color w:val="111111"/>
          <w:sz w:val="22"/>
        </w:rPr>
        <w:t xml:space="preserve"> Does the agent fail because it cannot optimize, or because the accessible objective differs from the user's authorized utility?</w:t>
      </w:r>
    </w:p>
    <w:p>
      <w:r>
        <w:rPr>
          <w:rFonts w:ascii="Calibri" w:hAnsi="Calibri" w:eastAsia="Microsoft YaHei"/>
          <w:b/>
          <w:color w:val="111111"/>
          <w:sz w:val="22"/>
        </w:rPr>
        <w:t>Design.</w:t>
      </w:r>
      <w:r>
        <w:rPr>
          <w:rFonts w:ascii="Calibri" w:hAnsi="Calibri" w:eastAsia="Microsoft YaHei"/>
          <w:b w:val="0"/>
          <w:color w:val="111111"/>
          <w:sz w:val="22"/>
        </w:rPr>
        <w:t xml:space="preserve"> Create tasks where the same prompt is compatible with multiple plausible utilities that require different actions. Cross objective condition (proxy only, explicit preference, counterexample-enriched specification) with authority condition (no authority, authorized user signal, mandatory human gate). Add objective drift during the episode and adversarially gameable graders.</w:t>
      </w:r>
    </w:p>
    <w:p>
      <w:r>
        <w:rPr>
          <w:rFonts w:ascii="Calibri" w:hAnsi="Calibri" w:eastAsia="Microsoft YaHei"/>
          <w:b/>
          <w:color w:val="111111"/>
          <w:sz w:val="22"/>
        </w:rPr>
        <w:t>Measurements.</w:t>
      </w:r>
      <w:r>
        <w:rPr>
          <w:rFonts w:ascii="Calibri" w:hAnsi="Calibri" w:eastAsia="Microsoft YaHei"/>
          <w:b w:val="0"/>
          <w:color w:val="111111"/>
          <w:sz w:val="22"/>
        </w:rPr>
        <w:t xml:space="preserve"> Authorized-utility regret, proxy/true-objective divergence, unsafe commitment rate, escalation precision and recall, responsiveness to preference updates, and resistance to evaluator loopholes.</w:t>
      </w:r>
    </w:p>
    <w:p>
      <w:r>
        <w:rPr>
          <w:rFonts w:ascii="Calibri" w:hAnsi="Calibri" w:eastAsia="Microsoft YaHei"/>
          <w:b/>
          <w:color w:val="111111"/>
          <w:sz w:val="22"/>
        </w:rPr>
        <w:t>Falsifier.</w:t>
      </w:r>
      <w:r>
        <w:rPr>
          <w:rFonts w:ascii="Calibri" w:hAnsi="Calibri" w:eastAsia="Microsoft YaHei"/>
          <w:b w:val="0"/>
          <w:color w:val="111111"/>
          <w:sz w:val="22"/>
        </w:rPr>
        <w:t xml:space="preserve"> If the “true” utility is inferred only from the same model judge used to score the agent, the study has not escaped specification mismatch. High-fidelity human, executable, or institutionally authorized oracles are required.</w:t>
      </w:r>
    </w:p>
    <w:p>
      <w:r>
        <w:rPr>
          <w:rFonts w:ascii="Calibri" w:hAnsi="Calibri" w:eastAsia="Microsoft YaHei"/>
          <w:b/>
          <w:color w:val="111111"/>
          <w:sz w:val="22"/>
        </w:rPr>
        <w:t>Diagnostic boundary.</w:t>
      </w:r>
      <w:r>
        <w:rPr>
          <w:rFonts w:ascii="Calibri" w:hAnsi="Calibri" w:eastAsia="Microsoft YaHei"/>
          <w:b w:val="0"/>
          <w:color w:val="111111"/>
          <w:sz w:val="22"/>
        </w:rPr>
        <w:t xml:space="preserve"> Specification mismatch concerns the objective or its authority. If the authorized objective is explicit and the system still cannot produce a qualifying candidate, support, aggregation, or capability may be the active bottleneck.</w:t>
      </w:r>
    </w:p>
    <w:p>
      <w:r>
        <w:rPr>
          <w:rFonts w:ascii="Calibri" w:hAnsi="Calibri" w:eastAsia="Microsoft YaHei"/>
          <w:b/>
          <w:color w:val="111111"/>
          <w:sz w:val="22"/>
        </w:rPr>
        <w:t>Transfer test.</w:t>
      </w:r>
      <w:r>
        <w:rPr>
          <w:rFonts w:ascii="Calibri" w:hAnsi="Calibri" w:eastAsia="Microsoft YaHei"/>
          <w:b w:val="0"/>
          <w:color w:val="111111"/>
          <w:sz w:val="22"/>
        </w:rPr>
        <w:t xml:space="preserve"> Change domains, stakeholders, and authority structures. Models may predict preferences better over time; they still cannot substitute prediction for authorization where authorization is part of the task semantics.</w:t>
      </w:r>
    </w:p>
    <w:p>
      <w:pPr>
        <w:pStyle w:val="Heading1"/>
      </w:pPr>
      <w:r>
        <w:rPr>
          <w:rFonts w:ascii="Calibri" w:hAnsi="Calibri" w:eastAsia="Microsoft YaHei"/>
          <w:b/>
          <w:color w:val="2E74B5"/>
          <w:sz w:val="32"/>
        </w:rPr>
        <w:t>6. The minimum experimental contract</w:t>
      </w:r>
    </w:p>
    <w:p>
      <w:r>
        <w:rPr>
          <w:rFonts w:ascii="Calibri" w:hAnsi="Calibri" w:eastAsia="Microsoft YaHei"/>
          <w:b w:val="0"/>
          <w:color w:val="111111"/>
          <w:sz w:val="22"/>
        </w:rPr>
        <w:t>A credible agent experiment should publish enough information to reconstruct the intervention, opportunity set, and outcome authority.</w:t>
      </w:r>
    </w:p>
    <w:p>
      <w:pPr>
        <w:pStyle w:val="Heading2"/>
      </w:pPr>
      <w:r>
        <w:rPr>
          <w:rFonts w:ascii="Calibri" w:hAnsi="Calibri" w:eastAsia="Microsoft YaHei"/>
          <w:b/>
          <w:color w:val="1F4D78"/>
          <w:sz w:val="26"/>
        </w:rPr>
        <w:t>6.1 Define the estimand before running the system</w:t>
      </w:r>
    </w:p>
    <w:p>
      <w:r>
        <w:rPr>
          <w:rFonts w:ascii="Calibri" w:hAnsi="Calibri" w:eastAsia="Microsoft YaHei"/>
          <w:b w:val="0"/>
          <w:color w:val="111111"/>
          <w:sz w:val="22"/>
        </w:rPr>
        <w:t>For a governance intervention \(g\) against baseline \(h_0\), define</w:t>
      </w:r>
    </w:p>
    <w:p>
      <w:pPr>
        <w:spacing w:before="100" w:after="180"/>
        <w:jc w:val="center"/>
      </w:pPr>
      <w:r>
        <w:rPr>
          <w:rFonts w:ascii="Cambria Math" w:hAnsi="Cambria Math" w:eastAsia="Microsoft YaHei"/>
          <w:color w:val="0B2545"/>
          <w:sz w:val="21"/>
        </w:rPr>
        <w:t>\Delta_g(\theta,D,b)</w:t>
      </w:r>
      <w:r>
        <w:br/>
      </w:r>
      <w:r>
        <w:rPr>
          <w:rFonts w:ascii="Cambria Math" w:hAnsi="Cambria Math" w:eastAsia="Microsoft YaHei"/>
          <w:color w:val="0B2545"/>
          <w:sz w:val="21"/>
        </w:rPr>
        <w:t>=</w:t>
      </w:r>
      <w:r>
        <w:br/>
      </w:r>
      <w:r>
        <w:rPr>
          <w:rFonts w:ascii="Cambria Math" w:hAnsi="Cambria Math" w:eastAsia="Microsoft YaHei"/>
          <w:color w:val="0B2545"/>
          <w:sz w:val="21"/>
        </w:rPr>
        <w:t>\mathbb{E}[J\mid \theta,g,D,b]</w:t>
      </w:r>
      <w:r>
        <w:br/>
      </w:r>
      <w:r>
        <w:rPr>
          <w:rFonts w:ascii="Cambria Math" w:hAnsi="Cambria Math" w:eastAsia="Microsoft YaHei"/>
          <w:color w:val="0B2545"/>
          <w:sz w:val="21"/>
        </w:rPr>
        <w:t>-</w:t>
      </w:r>
      <w:r>
        <w:br/>
      </w:r>
      <w:r>
        <w:rPr>
          <w:rFonts w:ascii="Cambria Math" w:hAnsi="Cambria Math" w:eastAsia="Microsoft YaHei"/>
          <w:color w:val="0B2545"/>
          <w:sz w:val="21"/>
        </w:rPr>
        <w:t>\mathbb{E}[J\mid \theta,h_0,D,b].</w:t>
      </w:r>
    </w:p>
    <w:p>
      <w:r>
        <w:rPr>
          <w:rFonts w:ascii="Calibri" w:hAnsi="Calibri" w:eastAsia="Microsoft YaHei"/>
          <w:b w:val="0"/>
          <w:color w:val="111111"/>
          <w:sz w:val="22"/>
        </w:rPr>
        <w:t>Then state the claim ceiling. Is the experiment estimating a product-level total effect, a mechanism-mediated effect, an interaction, a boundary threshold, or a transport effect? These are not interchangeable.</w:t>
      </w:r>
    </w:p>
    <w:p>
      <w:r>
        <w:rPr>
          <w:rFonts w:ascii="Calibri" w:hAnsi="Calibri" w:eastAsia="Microsoft YaHei"/>
          <w:b w:val="0"/>
          <w:color w:val="111111"/>
          <w:sz w:val="22"/>
        </w:rPr>
        <w:t>Causal language is warranted only to the extent that treatment arms differ in the declared manipulation and the endpoint is measured without treatment-dependent bias. Unmeasured differences in tools, opportunities, timeouts, or grading remain alternative explanations even when a p-value is small.</w:t>
      </w:r>
    </w:p>
    <w:p>
      <w:pPr>
        <w:pStyle w:val="Heading2"/>
      </w:pPr>
      <w:r>
        <w:rPr>
          <w:rFonts w:ascii="Calibri" w:hAnsi="Calibri" w:eastAsia="Microsoft YaHei"/>
          <w:b/>
          <w:color w:val="1F4D78"/>
          <w:sz w:val="26"/>
        </w:rPr>
        <w:t>6.2 Freeze the comparability contract</w:t>
      </w:r>
    </w:p>
    <w:p>
      <w:r>
        <w:rPr>
          <w:rFonts w:ascii="Calibri" w:hAnsi="Calibri" w:eastAsia="Microsoft YaHei"/>
          <w:b w:val="0"/>
          <w:color w:val="111111"/>
          <w:sz w:val="22"/>
        </w:rPr>
        <w:t>Version and disclose:</w:t>
      </w:r>
    </w:p>
    <w:p>
      <w:pPr>
        <w:spacing w:before="0" w:after="80" w:line="290" w:lineRule="auto"/>
        <w:numPr>
          <w:ilvl w:val="0"/>
          <w:numId w:val="18"/>
        </w:numPr>
      </w:pPr>
      <w:r>
        <w:rPr>
          <w:rFonts w:ascii="Calibri" w:hAnsi="Calibri" w:eastAsia="Microsoft YaHei"/>
          <w:b w:val="0"/>
          <w:color w:val="111111"/>
          <w:sz w:val="21"/>
        </w:rPr>
        <w:t>model identifier, endpoint, decoding settings, and date;</w:t>
      </w:r>
    </w:p>
    <w:p>
      <w:pPr>
        <w:spacing w:before="0" w:after="80" w:line="290" w:lineRule="auto"/>
        <w:numPr>
          <w:ilvl w:val="0"/>
          <w:numId w:val="18"/>
        </w:numPr>
      </w:pPr>
      <w:r>
        <w:rPr>
          <w:rFonts w:ascii="Calibri" w:hAnsi="Calibri" w:eastAsia="Microsoft YaHei"/>
          <w:b w:val="0"/>
          <w:color w:val="111111"/>
          <w:sz w:val="21"/>
        </w:rPr>
        <w:t>full harness and prompt state;</w:t>
      </w:r>
    </w:p>
    <w:p>
      <w:pPr>
        <w:spacing w:before="0" w:after="80" w:line="290" w:lineRule="auto"/>
        <w:numPr>
          <w:ilvl w:val="0"/>
          <w:numId w:val="18"/>
        </w:numPr>
      </w:pPr>
      <w:r>
        <w:rPr>
          <w:rFonts w:ascii="Calibri" w:hAnsi="Calibri" w:eastAsia="Microsoft YaHei"/>
          <w:b w:val="0"/>
          <w:color w:val="111111"/>
          <w:sz w:val="21"/>
        </w:rPr>
        <w:t>tools, permissions, environment image, initial state, and network policy;</w:t>
      </w:r>
    </w:p>
    <w:p>
      <w:pPr>
        <w:spacing w:before="0" w:after="80" w:line="290" w:lineRule="auto"/>
        <w:numPr>
          <w:ilvl w:val="0"/>
          <w:numId w:val="18"/>
        </w:numPr>
      </w:pPr>
      <w:r>
        <w:rPr>
          <w:rFonts w:ascii="Calibri" w:hAnsi="Calibri" w:eastAsia="Microsoft YaHei"/>
          <w:b w:val="0"/>
          <w:color w:val="111111"/>
          <w:sz w:val="21"/>
        </w:rPr>
        <w:t>token, call, wall-clock, money, and retry budgets;</w:t>
      </w:r>
    </w:p>
    <w:p>
      <w:pPr>
        <w:spacing w:before="0" w:after="80" w:line="290" w:lineRule="auto"/>
        <w:numPr>
          <w:ilvl w:val="0"/>
          <w:numId w:val="18"/>
        </w:numPr>
      </w:pPr>
      <w:r>
        <w:rPr>
          <w:rFonts w:ascii="Calibri" w:hAnsi="Calibri" w:eastAsia="Microsoft YaHei"/>
          <w:b w:val="0"/>
          <w:color w:val="111111"/>
          <w:sz w:val="21"/>
        </w:rPr>
        <w:t>task sampling and holdout construction;</w:t>
      </w:r>
    </w:p>
    <w:p>
      <w:pPr>
        <w:spacing w:before="0" w:after="80" w:line="290" w:lineRule="auto"/>
        <w:numPr>
          <w:ilvl w:val="0"/>
          <w:numId w:val="18"/>
        </w:numPr>
      </w:pPr>
      <w:r>
        <w:rPr>
          <w:rFonts w:ascii="Calibri" w:hAnsi="Calibri" w:eastAsia="Microsoft YaHei"/>
          <w:b w:val="0"/>
          <w:color w:val="111111"/>
          <w:sz w:val="21"/>
        </w:rPr>
        <w:t>verifier code, outcome-state oracle, and grader version;</w:t>
      </w:r>
    </w:p>
    <w:p>
      <w:pPr>
        <w:spacing w:before="0" w:after="80" w:line="290" w:lineRule="auto"/>
        <w:numPr>
          <w:ilvl w:val="0"/>
          <w:numId w:val="18"/>
        </w:numPr>
      </w:pPr>
      <w:r>
        <w:rPr>
          <w:rFonts w:ascii="Calibri" w:hAnsi="Calibri" w:eastAsia="Microsoft YaHei"/>
          <w:b w:val="0"/>
          <w:color w:val="111111"/>
          <w:sz w:val="21"/>
        </w:rPr>
        <w:t>stopping, timeout, failure, and exclusion rules.</w:t>
      </w:r>
    </w:p>
    <w:p>
      <w:r>
        <w:rPr>
          <w:rFonts w:ascii="Calibri" w:hAnsi="Calibri" w:eastAsia="Microsoft YaHei"/>
          <w:b w:val="0"/>
          <w:color w:val="111111"/>
          <w:sz w:val="22"/>
        </w:rPr>
        <w:t>Changing one of these after observing results creates a new experiment, not a harmless implementation detail.</w:t>
      </w:r>
    </w:p>
    <w:p>
      <w:pPr>
        <w:pStyle w:val="Heading2"/>
      </w:pPr>
      <w:r>
        <w:rPr>
          <w:rFonts w:ascii="Calibri" w:hAnsi="Calibri" w:eastAsia="Microsoft YaHei"/>
          <w:b/>
          <w:color w:val="1F4D78"/>
          <w:sz w:val="26"/>
        </w:rPr>
        <w:t>6.3 Prefer paired, blocked, and factorial designs</w:t>
      </w:r>
    </w:p>
    <w:p>
      <w:r>
        <w:rPr>
          <w:rFonts w:ascii="Calibri" w:hAnsi="Calibri" w:eastAsia="Microsoft YaHei"/>
          <w:b w:val="0"/>
          <w:color w:val="111111"/>
          <w:sz w:val="22"/>
        </w:rPr>
        <w:t>Run treatment and control on the same task seeds and initial states. Block on known difficulty, domain, and mismatch dose. Randomize order and isolate trials. When components plausibly interact, use a factorial or fractional-factorial design instead of a sequence of one-off ablations. Main effects without interactions are especially dangerous in compound agent systems.</w:t>
      </w:r>
    </w:p>
    <w:p>
      <w:pPr>
        <w:pStyle w:val="Heading2"/>
      </w:pPr>
      <w:r>
        <w:rPr>
          <w:rFonts w:ascii="Calibri" w:hAnsi="Calibri" w:eastAsia="Microsoft YaHei"/>
          <w:b/>
          <w:color w:val="1F4D78"/>
          <w:sz w:val="26"/>
        </w:rPr>
        <w:t>6.4 Replicate stochastic trials and model the hierarchy</w:t>
      </w:r>
    </w:p>
    <w:p>
      <w:r>
        <w:rPr>
          <w:rFonts w:ascii="Calibri" w:hAnsi="Calibri" w:eastAsia="Microsoft YaHei"/>
          <w:b w:val="0"/>
          <w:color w:val="111111"/>
          <w:sz w:val="22"/>
        </w:rPr>
        <w:t>Single generations underestimate uncertainty. Repeated attempts should separate variance across task families, tasks, seeds, model sampling, and infrastructure. Report effect sizes and confidence or credible intervals, not only point estimates. Use hierarchical or mixed-effects models when tasks and runs are nested, and adjust confirmatory tests for multiple comparisons.</w:t>
      </w:r>
    </w:p>
    <w:p>
      <w:r>
        <w:rPr>
          <w:rFonts w:ascii="Calibri" w:hAnsi="Calibri" w:eastAsia="Microsoft YaHei"/>
          <w:b w:val="0"/>
          <w:color w:val="111111"/>
          <w:sz w:val="22"/>
        </w:rPr>
        <w:t>Run a prospective power or precision analysis against the minimum effect of interest. Predefine how timeouts, invalid runs, provider errors, and early stopping enter the estimand. Repeatedly inspecting results and extending the run until significance appears invalidates ordinary confirmatory intervals unless a sequential design was declared in advance.</w:t>
      </w:r>
    </w:p>
    <w:p>
      <w:pPr>
        <w:pStyle w:val="Heading2"/>
      </w:pPr>
      <w:r>
        <w:rPr>
          <w:rFonts w:ascii="Calibri" w:hAnsi="Calibri" w:eastAsia="Microsoft YaHei"/>
          <w:b/>
          <w:color w:val="1F4D78"/>
          <w:sz w:val="26"/>
        </w:rPr>
        <w:t>6.5 Match budgets and opportunities, not just prompts</w:t>
      </w:r>
    </w:p>
    <w:p>
      <w:r>
        <w:rPr>
          <w:rFonts w:ascii="Calibri" w:hAnsi="Calibri" w:eastAsia="Microsoft YaHei"/>
          <w:b w:val="0"/>
          <w:color w:val="111111"/>
          <w:sz w:val="22"/>
        </w:rPr>
        <w:t>Equal prompts do not imply equal treatments if one arm gets more tool calls, longer wall-clock, extra retries, a richer action space, or a stronger verifier. Publish both resource consumption and opportunity surfaces. When strict matching is impossible, estimate budget-success curves and compare systems at equivalent cost or risk.</w:t>
      </w:r>
    </w:p>
    <w:p>
      <w:pPr>
        <w:pStyle w:val="Heading2"/>
      </w:pPr>
      <w:r>
        <w:rPr>
          <w:rFonts w:ascii="Calibri" w:hAnsi="Calibri" w:eastAsia="Microsoft YaHei"/>
          <w:b/>
          <w:color w:val="1F4D78"/>
          <w:sz w:val="26"/>
        </w:rPr>
        <w:t>6.6 Grade environment outcomes and trajectories</w:t>
      </w:r>
    </w:p>
    <w:p>
      <w:r>
        <w:rPr>
          <w:rFonts w:ascii="Calibri" w:hAnsi="Calibri" w:eastAsia="Microsoft YaHei"/>
          <w:b w:val="0"/>
          <w:color w:val="111111"/>
          <w:sz w:val="22"/>
        </w:rPr>
        <w:t>Record final environment state, valid state transitions, verifier receipts, rollback behavior, tool errors, and traces in addition to final text. Use executable or high-fidelity graders wherever possible. Validate model judges against independent authorities and incorporate grader uncertainty into conclusions.</w:t>
      </w:r>
    </w:p>
    <w:p>
      <w:pPr>
        <w:pStyle w:val="Heading2"/>
      </w:pPr>
      <w:r>
        <w:rPr>
          <w:rFonts w:ascii="Calibri" w:hAnsi="Calibri" w:eastAsia="Microsoft YaHei"/>
          <w:b/>
          <w:color w:val="1F4D78"/>
          <w:sz w:val="26"/>
        </w:rPr>
        <w:t>6.7 Add mechanism checks and negative controls</w:t>
      </w:r>
    </w:p>
    <w:p>
      <w:r>
        <w:rPr>
          <w:rFonts w:ascii="Calibri" w:hAnsi="Calibri" w:eastAsia="Microsoft YaHei"/>
          <w:b w:val="0"/>
          <w:color w:val="111111"/>
          <w:sz w:val="22"/>
        </w:rPr>
        <w:t>A treatment should change its proposed mediator. More observation should increase access to the decisive variable; state governance should reduce invalid transitions; routing should improve selective calibration; support interventions should increase target coverage; aggregation controls should reduce invariant violations; specification governance should reduce authorized-utility regret. Irrelevant enrichment, sham controls, oracle candidates, copy controls, and deliberately stale state can distinguish the mechanism from generic extra-compute effects.</w:t>
      </w:r>
    </w:p>
    <w:p>
      <w:pPr>
        <w:pStyle w:val="Heading2"/>
      </w:pPr>
      <w:r>
        <w:rPr>
          <w:rFonts w:ascii="Calibri" w:hAnsi="Calibri" w:eastAsia="Microsoft YaHei"/>
          <w:b/>
          <w:color w:val="1F4D78"/>
          <w:sz w:val="26"/>
        </w:rPr>
        <w:t>6.8 Pre-register falsifiers and minimum effects</w:t>
      </w:r>
    </w:p>
    <w:p>
      <w:r>
        <w:rPr>
          <w:rFonts w:ascii="Calibri" w:hAnsi="Calibri" w:eastAsia="Microsoft YaHei"/>
          <w:b w:val="0"/>
          <w:color w:val="111111"/>
          <w:sz w:val="22"/>
        </w:rPr>
        <w:t>“Any positive difference” is too weak. Specify the expected direction, minimum practically important effect, primary endpoint, interactions, and failure conditions before inspection. Preserve null and sign-reversed results. A failed prediction with a clean contract is cumulative knowledge; an unlogged post-hoc success is not.</w:t>
      </w:r>
    </w:p>
    <w:p>
      <w:pPr>
        <w:pStyle w:val="Heading2"/>
      </w:pPr>
      <w:r>
        <w:rPr>
          <w:rFonts w:ascii="Calibri" w:hAnsi="Calibri" w:eastAsia="Microsoft YaHei"/>
          <w:b/>
          <w:color w:val="1F4D78"/>
          <w:sz w:val="26"/>
        </w:rPr>
        <w:t>6.9 Retest across models without demanding identical effect sizes</w:t>
      </w:r>
    </w:p>
    <w:p>
      <w:r>
        <w:rPr>
          <w:rFonts w:ascii="Calibri" w:hAnsi="Calibri" w:eastAsia="Microsoft YaHei"/>
          <w:b w:val="0"/>
          <w:color w:val="111111"/>
          <w:sz w:val="22"/>
        </w:rPr>
        <w:t>The transport claim should be layered:</w:t>
      </w:r>
    </w:p>
    <w:p>
      <w:pPr>
        <w:spacing w:before="0" w:after="80" w:line="290" w:lineRule="auto"/>
        <w:numPr>
          <w:ilvl w:val="0"/>
          <w:numId w:val="19"/>
        </w:numPr>
      </w:pPr>
      <w:r>
        <w:rPr>
          <w:rFonts w:ascii="Calibri" w:hAnsi="Calibri" w:eastAsia="Microsoft YaHei"/>
          <w:b/>
          <w:color w:val="111111"/>
          <w:sz w:val="21"/>
        </w:rPr>
        <w:t>Structural invariant:</w:t>
      </w:r>
      <w:r>
        <w:rPr>
          <w:rFonts w:ascii="Calibri" w:hAnsi="Calibri" w:eastAsia="Microsoft YaHei"/>
          <w:b w:val="0"/>
          <w:color w:val="111111"/>
          <w:sz w:val="21"/>
        </w:rPr>
        <w:t xml:space="preserve"> follows from information, program, transaction, or authority semantics.</w:t>
      </w:r>
    </w:p>
    <w:p>
      <w:pPr>
        <w:spacing w:before="0" w:after="80" w:line="290" w:lineRule="auto"/>
        <w:numPr>
          <w:ilvl w:val="0"/>
          <w:numId w:val="19"/>
        </w:numPr>
      </w:pPr>
      <w:r>
        <w:rPr>
          <w:rFonts w:ascii="Calibri" w:hAnsi="Calibri" w:eastAsia="Microsoft YaHei"/>
          <w:b/>
          <w:color w:val="111111"/>
          <w:sz w:val="21"/>
        </w:rPr>
        <w:t>Conditional mechanism prediction:</w:t>
      </w:r>
      <w:r>
        <w:rPr>
          <w:rFonts w:ascii="Calibri" w:hAnsi="Calibri" w:eastAsia="Microsoft YaHei"/>
          <w:b w:val="0"/>
          <w:color w:val="111111"/>
          <w:sz w:val="21"/>
        </w:rPr>
        <w:t xml:space="preserve"> should recur when the same mismatch condition is present.</w:t>
      </w:r>
    </w:p>
    <w:p>
      <w:pPr>
        <w:spacing w:before="0" w:after="80" w:line="290" w:lineRule="auto"/>
        <w:numPr>
          <w:ilvl w:val="0"/>
          <w:numId w:val="19"/>
        </w:numPr>
      </w:pPr>
      <w:r>
        <w:rPr>
          <w:rFonts w:ascii="Calibri" w:hAnsi="Calibri" w:eastAsia="Microsoft YaHei"/>
          <w:b/>
          <w:color w:val="111111"/>
          <w:sz w:val="21"/>
        </w:rPr>
        <w:t>Numerical calibration:</w:t>
      </w:r>
      <w:r>
        <w:rPr>
          <w:rFonts w:ascii="Calibri" w:hAnsi="Calibri" w:eastAsia="Microsoft YaHei"/>
          <w:b w:val="0"/>
          <w:color w:val="111111"/>
          <w:sz w:val="21"/>
        </w:rPr>
        <w:t xml:space="preserve"> effect size, cost, threshold, and optimal complexity are model- and protocol-specific.</w:t>
      </w:r>
    </w:p>
    <w:p>
      <w:r>
        <w:rPr>
          <w:rFonts w:ascii="Calibri" w:hAnsi="Calibri" w:eastAsia="Microsoft YaHei"/>
          <w:b w:val="0"/>
          <w:color w:val="111111"/>
          <w:sz w:val="22"/>
        </w:rPr>
        <w:t>It is unreasonable to demand</w:t>
      </w:r>
    </w:p>
    <w:p>
      <w:pPr>
        <w:spacing w:before="100" w:after="180"/>
        <w:jc w:val="center"/>
      </w:pPr>
      <w:r>
        <w:rPr>
          <w:rFonts w:ascii="Cambria Math" w:hAnsi="Cambria Math" w:eastAsia="Microsoft YaHei"/>
          <w:color w:val="0B2545"/>
          <w:sz w:val="21"/>
        </w:rPr>
        <w:t>\Delta_g(\theta_1,D,b)=\Delta_g(\theta_2,D,b).</w:t>
      </w:r>
    </w:p>
    <w:p>
      <w:r>
        <w:rPr>
          <w:rFonts w:ascii="Calibri" w:hAnsi="Calibri" w:eastAsia="Microsoft YaHei"/>
          <w:b w:val="0"/>
          <w:color w:val="111111"/>
          <w:sz w:val="22"/>
        </w:rPr>
        <w:t>The cumulative claim is that the intervention, preconditions, mediator, and falsifier remain definable and retestable. Each model generation requires recalibration, not reinvention of the question.</w:t>
      </w:r>
    </w:p>
    <w:p>
      <w:pPr>
        <w:pStyle w:val="Heading1"/>
      </w:pPr>
      <w:r>
        <w:rPr>
          <w:rFonts w:ascii="Calibri" w:hAnsi="Calibri" w:eastAsia="Microsoft YaHei"/>
          <w:b/>
          <w:color w:val="2E74B5"/>
          <w:sz w:val="32"/>
        </w:rPr>
        <w:t>7. A staged research program for Agent Engineering</w:t>
      </w:r>
    </w:p>
    <w:p>
      <w:pPr>
        <w:pStyle w:val="Heading2"/>
      </w:pPr>
      <w:r>
        <w:rPr>
          <w:rFonts w:ascii="Calibri" w:hAnsi="Calibri" w:eastAsia="Microsoft YaHei"/>
          <w:b/>
          <w:color w:val="1F4D78"/>
          <w:sz w:val="26"/>
        </w:rPr>
        <w:t>Stage 0: Build the measurement substrate</w:t>
      </w:r>
    </w:p>
    <w:p>
      <w:r>
        <w:rPr>
          <w:rFonts w:ascii="Calibri" w:hAnsi="Calibri" w:eastAsia="Microsoft YaHei"/>
          <w:b w:val="0"/>
          <w:color w:val="111111"/>
          <w:sz w:val="22"/>
        </w:rPr>
        <w:t>Version harnesses, isolate environments, capture traces, expose authoritative state, standardize budgets, and make evaluators executable. Without this substrate, later experiments will produce precise numbers about unstable systems.</w:t>
      </w:r>
    </w:p>
    <w:p>
      <w:pPr>
        <w:pStyle w:val="Heading2"/>
      </w:pPr>
      <w:r>
        <w:rPr>
          <w:rFonts w:ascii="Calibri" w:hAnsi="Calibri" w:eastAsia="Microsoft YaHei"/>
          <w:b/>
          <w:color w:val="1F4D78"/>
          <w:sz w:val="26"/>
        </w:rPr>
        <w:t>Stage 1: Establish diagnostic microbenchmarks</w:t>
      </w:r>
    </w:p>
    <w:p>
      <w:r>
        <w:rPr>
          <w:rFonts w:ascii="Calibri" w:hAnsi="Calibri" w:eastAsia="Microsoft YaHei"/>
          <w:b w:val="0"/>
          <w:color w:val="111111"/>
          <w:sz w:val="22"/>
        </w:rPr>
        <w:t>For each mismatch, build small paired tasks that vary one structural dose: observation loss, state ambiguity, boundary distance, support rarity, dependency coupling, or objective ambiguity. The goal is not realism first; it is identification.</w:t>
      </w:r>
    </w:p>
    <w:p>
      <w:pPr>
        <w:pStyle w:val="Heading2"/>
      </w:pPr>
      <w:r>
        <w:rPr>
          <w:rFonts w:ascii="Calibri" w:hAnsi="Calibri" w:eastAsia="Microsoft YaHei"/>
          <w:b/>
          <w:color w:val="1F4D78"/>
          <w:sz w:val="26"/>
        </w:rPr>
        <w:t>Stage 2: Estimate mechanism and interaction effects</w:t>
      </w:r>
    </w:p>
    <w:p>
      <w:r>
        <w:rPr>
          <w:rFonts w:ascii="Calibri" w:hAnsi="Calibri" w:eastAsia="Microsoft YaHei"/>
          <w:b w:val="0"/>
          <w:color w:val="111111"/>
          <w:sz w:val="22"/>
        </w:rPr>
        <w:t>Run cross-mismatch factorial experiments. Examples include observation × routing, state authority × commit protocol, support search × verifier quality, and dependency coupling × repair interface. Compound failures are expected to be super-additive; the experimental design must be able to detect that.</w:t>
      </w:r>
    </w:p>
    <w:p>
      <w:pPr>
        <w:pStyle w:val="Heading2"/>
      </w:pPr>
      <w:r>
        <w:rPr>
          <w:rFonts w:ascii="Calibri" w:hAnsi="Calibri" w:eastAsia="Microsoft YaHei"/>
          <w:b/>
          <w:color w:val="1F4D78"/>
          <w:sz w:val="26"/>
        </w:rPr>
        <w:t>Stage 3: Test transport on open tasks</w:t>
      </w:r>
    </w:p>
    <w:p>
      <w:r>
        <w:rPr>
          <w:rFonts w:ascii="Calibri" w:hAnsi="Calibri" w:eastAsia="Microsoft YaHei"/>
          <w:b w:val="0"/>
          <w:color w:val="111111"/>
          <w:sz w:val="22"/>
        </w:rPr>
        <w:t>Move from synthetic probes to coding, research, data, browser, operations, and collaborative tasks. Preserve the same treatment contract while changing surface form. Report where the mechanism stops transferring.</w:t>
      </w:r>
    </w:p>
    <w:p>
      <w:pPr>
        <w:pStyle w:val="Heading2"/>
      </w:pPr>
      <w:r>
        <w:rPr>
          <w:rFonts w:ascii="Calibri" w:hAnsi="Calibri" w:eastAsia="Microsoft YaHei"/>
          <w:b/>
          <w:color w:val="1F4D78"/>
          <w:sz w:val="26"/>
        </w:rPr>
        <w:t>Stage 4: Run longitudinal cross-model replication</w:t>
      </w:r>
    </w:p>
    <w:p>
      <w:r>
        <w:rPr>
          <w:rFonts w:ascii="Calibri" w:hAnsi="Calibri" w:eastAsia="Microsoft YaHei"/>
          <w:b w:val="0"/>
          <w:color w:val="111111"/>
          <w:sz w:val="22"/>
        </w:rPr>
        <w:t>Keep task families, environment snapshots, and interventions stable while models change. Re-estimate baseline, treatment effect, crossover, and optimal activation policy. This creates an empirical map of how model scaling moves mismatch boundaries.</w:t>
      </w:r>
    </w:p>
    <w:p>
      <w:pPr>
        <w:pStyle w:val="Heading2"/>
      </w:pPr>
      <w:r>
        <w:rPr>
          <w:rFonts w:ascii="Calibri" w:hAnsi="Calibri" w:eastAsia="Microsoft YaHei"/>
          <w:b/>
          <w:color w:val="1F4D78"/>
          <w:sz w:val="26"/>
        </w:rPr>
        <w:t>Stage 5: Validate decision policies in production</w:t>
      </w:r>
    </w:p>
    <w:p>
      <w:r>
        <w:rPr>
          <w:rFonts w:ascii="Calibri" w:hAnsi="Calibri" w:eastAsia="Microsoft YaHei"/>
          <w:b w:val="0"/>
          <w:color w:val="111111"/>
          <w:sz w:val="22"/>
        </w:rPr>
        <w:t>Deploy only after offline identification. Use guarded rollouts to test whether the learned activation rule improves user utility, cost, latency, and tail risk. Production feedback should create new regression guards and experimental tasks, not silently redefine the original benchmark.</w:t>
      </w:r>
    </w:p>
    <w:p>
      <w:r>
        <w:rPr>
          <w:rFonts w:ascii="Calibri" w:hAnsi="Calibri" w:eastAsia="Microsoft YaHei"/>
          <w:b w:val="0"/>
          <w:color w:val="111111"/>
          <w:sz w:val="22"/>
        </w:rPr>
        <w:t>The output of this program is not a universal “best agent.” It is a library of conditional engineering laws:</w:t>
      </w:r>
    </w:p>
    <w:p>
      <w:pPr>
        <w:spacing w:before="80" w:after="200" w:line="252" w:lineRule="auto"/>
        <w:ind w:left="317" w:right="115"/>
        <w:jc w:val="left"/>
        <w:shd w:val="clear" w:fill="F2F4F7"/>
        <w:pBdr>
          <w:left w:val="single" w:sz="14" w:space="8" w:color="0A6E75"/>
        </w:pBdr>
      </w:pPr>
      <w:r>
        <w:rPr>
          <w:rFonts w:ascii="Consolas" w:hAnsi="Consolas" w:eastAsia="Microsoft YaHei"/>
          <w:color w:val="1F4D78"/>
          <w:sz w:val="18"/>
        </w:rPr>
        <w:t>When state ambiguity exceeds c,</w:t>
      </w:r>
      <w:r>
        <w:br/>
      </w:r>
      <w:r>
        <w:rPr>
          <w:rFonts w:ascii="Consolas" w:hAnsi="Consolas" w:eastAsia="Microsoft YaHei"/>
          <w:color w:val="1F4D78"/>
          <w:sz w:val="18"/>
        </w:rPr>
        <w:t>query authoritative state before commit.</w:t>
      </w:r>
      <w:r>
        <w:br/>
      </w:r>
      <w:r>
        <w:rPr>
          <w:rFonts w:ascii="Consolas" w:hAnsi="Consolas" w:eastAsia="Microsoft YaHei"/>
          <w:color w:val="1F4D78"/>
          <w:sz w:val="18"/>
        </w:rPr>
      </w:r>
      <w:r>
        <w:br/>
      </w:r>
      <w:r>
        <w:rPr>
          <w:rFonts w:ascii="Consolas" w:hAnsi="Consolas" w:eastAsia="Microsoft YaHei"/>
          <w:color w:val="1F4D78"/>
          <w:sz w:val="18"/>
        </w:rPr>
        <w:t>When edit density is below d and the plan is verified,</w:t>
      </w:r>
      <w:r>
        <w:br/>
      </w:r>
      <w:r>
        <w:rPr>
          <w:rFonts w:ascii="Consolas" w:hAnsi="Consolas" w:eastAsia="Microsoft YaHei"/>
          <w:color w:val="1F4D78"/>
          <w:sz w:val="18"/>
        </w:rPr>
        <w:t>prefer bounded patch delivery.</w:t>
      </w:r>
      <w:r>
        <w:br/>
      </w:r>
      <w:r>
        <w:rPr>
          <w:rFonts w:ascii="Consolas" w:hAnsi="Consolas" w:eastAsia="Microsoft YaHei"/>
          <w:color w:val="1F4D78"/>
          <w:sz w:val="18"/>
        </w:rPr>
      </w:r>
      <w:r>
        <w:br/>
      </w:r>
      <w:r>
        <w:rPr>
          <w:rFonts w:ascii="Consolas" w:hAnsi="Consolas" w:eastAsia="Microsoft YaHei"/>
          <w:color w:val="1F4D78"/>
          <w:sz w:val="18"/>
        </w:rPr>
        <w:t>When effective support for the target structure is low,</w:t>
      </w:r>
      <w:r>
        <w:br/>
      </w:r>
      <w:r>
        <w:rPr>
          <w:rFonts w:ascii="Consolas" w:hAnsi="Consolas" w:eastAsia="Microsoft YaHei"/>
          <w:color w:val="1F4D78"/>
          <w:sz w:val="18"/>
        </w:rPr>
        <w:t>change the control space before buying more identical samples.</w:t>
      </w:r>
      <w:r>
        <w:br/>
      </w:r>
      <w:r>
        <w:rPr>
          <w:rFonts w:ascii="Consolas" w:hAnsi="Consolas" w:eastAsia="Microsoft YaHei"/>
          <w:color w:val="1F4D78"/>
          <w:sz w:val="18"/>
        </w:rPr>
      </w:r>
      <w:r>
        <w:br/>
      </w:r>
      <w:r>
        <w:rPr>
          <w:rFonts w:ascii="Consolas" w:hAnsi="Consolas" w:eastAsia="Microsoft YaHei"/>
          <w:color w:val="1F4D78"/>
          <w:sz w:val="18"/>
        </w:rPr>
        <w:t>When objective authority is missing,</w:t>
      </w:r>
      <w:r>
        <w:br/>
      </w:r>
      <w:r>
        <w:rPr>
          <w:rFonts w:ascii="Consolas" w:hAnsi="Consolas" w:eastAsia="Microsoft YaHei"/>
          <w:color w:val="1F4D78"/>
          <w:sz w:val="18"/>
        </w:rPr>
        <w:t>escalate instead of optimizing a guessed proxy.</w:t>
      </w:r>
    </w:p>
    <w:p>
      <w:pPr>
        <w:pStyle w:val="Heading1"/>
      </w:pPr>
      <w:r>
        <w:rPr>
          <w:rFonts w:ascii="Calibri" w:hAnsi="Calibri" w:eastAsia="Microsoft YaHei"/>
          <w:b/>
          <w:color w:val="2E74B5"/>
          <w:sz w:val="32"/>
        </w:rPr>
        <w:t>8. What would count against this thesis?</w:t>
      </w:r>
    </w:p>
    <w:p>
      <w:r>
        <w:rPr>
          <w:rFonts w:ascii="Calibri" w:hAnsi="Calibri" w:eastAsia="Microsoft YaHei"/>
          <w:b w:val="0"/>
          <w:color w:val="111111"/>
          <w:sz w:val="22"/>
        </w:rPr>
        <w:t>The structural-persistence view should not be protected from evidence. It would be weakened if, across diverse open task families and under matched budgets:</w:t>
      </w:r>
    </w:p>
    <w:p>
      <w:pPr>
        <w:spacing w:before="0" w:after="80" w:line="290" w:lineRule="auto"/>
        <w:numPr>
          <w:ilvl w:val="0"/>
          <w:numId w:val="20"/>
        </w:numPr>
      </w:pPr>
      <w:r>
        <w:rPr>
          <w:rFonts w:ascii="Calibri" w:hAnsi="Calibri" w:eastAsia="Microsoft YaHei"/>
          <w:b w:val="0"/>
          <w:color w:val="111111"/>
          <w:sz w:val="21"/>
        </w:rPr>
        <w:t>minimal runtimes consistently matched governed runtimes on mismatch-dosed probes;</w:t>
      </w:r>
    </w:p>
    <w:p>
      <w:pPr>
        <w:spacing w:before="0" w:after="80" w:line="290" w:lineRule="auto"/>
        <w:numPr>
          <w:ilvl w:val="0"/>
          <w:numId w:val="20"/>
        </w:numPr>
      </w:pPr>
      <w:r>
        <w:rPr>
          <w:rFonts w:ascii="Calibri" w:hAnsi="Calibri" w:eastAsia="Microsoft YaHei"/>
          <w:b w:val="0"/>
          <w:color w:val="111111"/>
          <w:sz w:val="21"/>
        </w:rPr>
        <w:t>treatment effects failed to increase with the corresponding mismatch dose;</w:t>
      </w:r>
    </w:p>
    <w:p>
      <w:pPr>
        <w:spacing w:before="0" w:after="80" w:line="290" w:lineRule="auto"/>
        <w:numPr>
          <w:ilvl w:val="0"/>
          <w:numId w:val="20"/>
        </w:numPr>
      </w:pPr>
      <w:r>
        <w:rPr>
          <w:rFonts w:ascii="Calibri" w:hAnsi="Calibri" w:eastAsia="Microsoft YaHei"/>
          <w:b w:val="0"/>
          <w:color w:val="111111"/>
          <w:sz w:val="21"/>
        </w:rPr>
        <w:t>proposed mediators did not move when interventions were applied;</w:t>
      </w:r>
    </w:p>
    <w:p>
      <w:pPr>
        <w:spacing w:before="0" w:after="80" w:line="290" w:lineRule="auto"/>
        <w:numPr>
          <w:ilvl w:val="0"/>
          <w:numId w:val="20"/>
        </w:numPr>
      </w:pPr>
      <w:r>
        <w:rPr>
          <w:rFonts w:ascii="Calibri" w:hAnsi="Calibri" w:eastAsia="Microsoft YaHei"/>
          <w:b w:val="0"/>
          <w:color w:val="111111"/>
          <w:sz w:val="21"/>
        </w:rPr>
        <w:t>stronger models eliminated not only fixed failures but also the predicted boundary shift on newly generated tasks;</w:t>
      </w:r>
    </w:p>
    <w:p>
      <w:pPr>
        <w:spacing w:before="0" w:after="80" w:line="290" w:lineRule="auto"/>
        <w:numPr>
          <w:ilvl w:val="0"/>
          <w:numId w:val="20"/>
        </w:numPr>
      </w:pPr>
      <w:r>
        <w:rPr>
          <w:rFonts w:ascii="Calibri" w:hAnsi="Calibri" w:eastAsia="Microsoft YaHei"/>
          <w:b w:val="0"/>
          <w:color w:val="111111"/>
          <w:sz w:val="21"/>
        </w:rPr>
        <w:t>effects did not transport even when preconditions and mechanism checks were preserved;</w:t>
      </w:r>
    </w:p>
    <w:p>
      <w:pPr>
        <w:spacing w:before="0" w:after="80" w:line="290" w:lineRule="auto"/>
        <w:numPr>
          <w:ilvl w:val="0"/>
          <w:numId w:val="20"/>
        </w:numPr>
      </w:pPr>
      <w:r>
        <w:rPr>
          <w:rFonts w:ascii="Calibri" w:hAnsi="Calibri" w:eastAsia="Microsoft YaHei"/>
          <w:b w:val="0"/>
          <w:color w:val="111111"/>
          <w:sz w:val="21"/>
        </w:rPr>
        <w:t>the overhead and new failure modes of governance dominated its benefits across the relevant operating region.</w:t>
      </w:r>
    </w:p>
    <w:p>
      <w:r>
        <w:rPr>
          <w:rFonts w:ascii="Calibri" w:hAnsi="Calibri" w:eastAsia="Microsoft YaHei"/>
          <w:b w:val="0"/>
          <w:color w:val="111111"/>
          <w:sz w:val="22"/>
        </w:rPr>
        <w:t>Even then, a finite benchmark cannot prove that a failure class has vanished from every open task space. But it can show that a proposed taxonomy is not useful, a mechanism is incorrectly specified, or an intervention is economically irrelevant. The framework earns scientific value only by making those losses possible.</w:t>
      </w:r>
    </w:p>
    <w:p>
      <w:pPr>
        <w:pStyle w:val="Heading1"/>
      </w:pPr>
      <w:r>
        <w:rPr>
          <w:rFonts w:ascii="Calibri" w:hAnsi="Calibri" w:eastAsia="Microsoft YaHei"/>
          <w:b/>
          <w:color w:val="2E74B5"/>
          <w:sz w:val="32"/>
        </w:rPr>
        <w:t>9. Conclusion</w:t>
      </w:r>
    </w:p>
    <w:p>
      <w:r>
        <w:rPr>
          <w:rFonts w:ascii="Calibri" w:hAnsi="Calibri" w:eastAsia="Microsoft YaHei"/>
          <w:b w:val="0"/>
          <w:color w:val="111111"/>
          <w:sz w:val="22"/>
        </w:rPr>
        <w:t>Agent engineering cannot become cumulative by collecting more indivisible agent scores. It becomes cumulative when it can distinguish model capability from opportunity, harness structure from component names, claimed completion from committed state, and product wins from identified mechanisms.</w:t>
      </w:r>
    </w:p>
    <w:p>
      <w:r>
        <w:rPr>
          <w:rFonts w:ascii="Calibri" w:hAnsi="Calibri" w:eastAsia="Microsoft YaHei"/>
          <w:b w:val="0"/>
          <w:color w:val="111111"/>
          <w:sz w:val="22"/>
        </w:rPr>
        <w:t>The emerging frontier already shows that scaffold choice, interface design, environment volatility, repeated sampling, and component interactions materially shape results. Its next step is controlled experimentation organized around stable failure structures. The six mismatches provide such a structure: they specify where value is lost, which variable should be manipulated, what mediator should move, which oracle is authoritative, and how a result can fail.</w:t>
      </w:r>
    </w:p>
    <w:p>
      <w:r>
        <w:rPr>
          <w:rFonts w:ascii="Calibri" w:hAnsi="Calibri" w:eastAsia="Microsoft YaHei"/>
          <w:b w:val="0"/>
          <w:color w:val="111111"/>
          <w:sz w:val="22"/>
        </w:rPr>
        <w:t>The durable unit of knowledge is therefore not “Harness X added 8 points to Model Y.” It is:</w:t>
      </w:r>
    </w:p>
    <w:p>
      <w:pPr>
        <w:spacing w:before="120" w:after="200" w:line="300" w:lineRule="auto"/>
        <w:ind w:left="403" w:right="173"/>
        <w:shd w:val="clear" w:fill="EEF4FA"/>
        <w:pBdr>
          <w:left w:val="single" w:sz="18" w:space="9" w:color="2E74B5"/>
        </w:pBdr>
      </w:pPr>
      <w:r>
        <w:rPr>
          <w:rFonts w:ascii="Calibri" w:hAnsi="Calibri" w:eastAsia="Microsoft YaHei"/>
          <w:b/>
          <w:color w:val="0B2545"/>
          <w:sz w:val="22"/>
        </w:rPr>
        <w:t>Under a defined structural condition, a governed intervention changes the system through an observed causal channel, within a measured budget and risk envelope.</w:t>
      </w:r>
    </w:p>
    <w:p>
      <w:r>
        <w:rPr>
          <w:rFonts w:ascii="Calibri" w:hAnsi="Calibri" w:eastAsia="Microsoft YaHei"/>
          <w:b w:val="0"/>
          <w:color w:val="111111"/>
          <w:sz w:val="22"/>
        </w:rPr>
        <w:t>Specific benchmark items will be solved. Models will become stronger. Some external scaffolds will move inside model-native runtimes. None of this makes controlled experiments obsolete. It makes them the mechanism by which agent engineering can tell what was learned, what merely moved, and what must be tested again.</w:t>
      </w:r>
    </w:p>
    <w:p>
      <w:pPr>
        <w:spacing w:before="120" w:after="200" w:line="300" w:lineRule="auto"/>
        <w:ind w:left="403" w:right="173"/>
        <w:shd w:val="clear" w:fill="EEF4FA"/>
        <w:pBdr>
          <w:left w:val="single" w:sz="18" w:space="9" w:color="2E74B5"/>
        </w:pBdr>
      </w:pPr>
      <w:r>
        <w:rPr>
          <w:rFonts w:ascii="Calibri" w:hAnsi="Calibri" w:eastAsia="Microsoft YaHei"/>
          <w:b/>
          <w:color w:val="0B2545"/>
          <w:sz w:val="22"/>
        </w:rPr>
        <w:t>Training can eliminate old problems without eliminating the six dimensions that generate new ones.</w:t>
      </w:r>
    </w:p>
    <w:p>
      <w:pPr>
        <w:spacing w:before="120" w:after="200" w:line="300" w:lineRule="auto"/>
        <w:ind w:left="403" w:right="173"/>
        <w:shd w:val="clear" w:fill="EEF4FA"/>
        <w:pBdr>
          <w:left w:val="single" w:sz="18" w:space="9" w:color="2E74B5"/>
        </w:pBdr>
      </w:pPr>
      <w:r>
        <w:rPr>
          <w:rFonts w:ascii="Calibri" w:hAnsi="Calibri" w:eastAsia="Microsoft YaHei"/>
          <w:b/>
          <w:color w:val="0B2545"/>
          <w:sz w:val="22"/>
        </w:rPr>
        <w:t>Model upgrades move mismatch boundaries; controlled experiments identify the governance laws at those boundaries.</w:t>
      </w:r>
    </w:p>
    <w:p>
      <w:pPr>
        <w:pStyle w:val="Heading1"/>
      </w:pPr>
      <w:r>
        <w:rPr>
          <w:rFonts w:ascii="Calibri" w:hAnsi="Calibri" w:eastAsia="Microsoft YaHei"/>
          <w:b/>
          <w:color w:val="2E74B5"/>
          <w:sz w:val="32"/>
        </w:rPr>
        <w:t>Evidence and claim boundary</w:t>
      </w:r>
    </w:p>
    <w:p>
      <w:r>
        <w:rPr>
          <w:rFonts w:ascii="Calibri" w:hAnsi="Calibri" w:eastAsia="Microsoft YaHei"/>
          <w:b w:val="0"/>
          <w:color w:val="111111"/>
          <w:sz w:val="22"/>
        </w:rPr>
        <w:t>This document distinguishes peer-reviewed conference work, recent preprints, and practitioner reports. Recent 2026 preprints are used as frontier evidence, not as settled consensus. The six-mismatch program is a falsifiable research proposal grounded in the repository's structural framework; it is not presented as already validated across all domains or models.</w:t>
      </w:r>
    </w:p>
    <w:p>
      <w:r>
        <w:br w:type="page"/>
      </w:r>
    </w:p>
    <w:p>
      <w:pPr>
        <w:pStyle w:val="Heading1"/>
      </w:pPr>
      <w:r>
        <w:rPr>
          <w:rFonts w:ascii="Calibri" w:hAnsi="Calibri" w:eastAsia="Microsoft YaHei"/>
          <w:b/>
          <w:color w:val="2E74B5"/>
          <w:sz w:val="32"/>
        </w:rPr>
        <w:t>References</w:t>
      </w:r>
    </w:p>
    <w:p>
      <w:pPr>
        <w:spacing w:before="0" w:after="40" w:line="264" w:lineRule="auto"/>
        <w:numPr>
          <w:ilvl w:val="0"/>
          <w:numId w:val="21"/>
        </w:numPr>
      </w:pPr>
      <w:r>
        <w:rPr>
          <w:rFonts w:ascii="Calibri" w:hAnsi="Calibri" w:eastAsia="Microsoft YaHei"/>
          <w:b w:val="0"/>
          <w:color w:val="111111"/>
          <w:sz w:val="18"/>
        </w:rPr>
        <w:t xml:space="preserve">METR. </w:t>
      </w:r>
      <w:hyperlink r:id="rId13">
        <w:r>
          <w:rPr>
            <w:rFonts w:ascii="Calibri" w:hAnsi="Calibri" w:eastAsia="Microsoft YaHei"/>
            <w:color w:val="2E74B5"/>
            <w:u w:val="single"/>
          </w:rPr>
          <w:t>Task-Completion Time Horizons of Frontier AI Models</w:t>
        </w:r>
      </w:hyperlink>
      <w:r>
        <w:rPr>
          <w:rFonts w:ascii="Calibri" w:hAnsi="Calibri" w:eastAsia="Microsoft YaHei"/>
          <w:b w:val="0"/>
          <w:color w:val="111111"/>
          <w:sz w:val="18"/>
        </w:rPr>
        <w:t>. Updated 2026.</w:t>
      </w:r>
    </w:p>
    <w:p>
      <w:pPr>
        <w:spacing w:before="0" w:after="40" w:line="264" w:lineRule="auto"/>
        <w:numPr>
          <w:ilvl w:val="0"/>
          <w:numId w:val="21"/>
        </w:numPr>
      </w:pPr>
      <w:r>
        <w:rPr>
          <w:rFonts w:ascii="Calibri" w:hAnsi="Calibri" w:eastAsia="Microsoft YaHei"/>
          <w:b w:val="0"/>
          <w:color w:val="111111"/>
          <w:sz w:val="18"/>
        </w:rPr>
        <w:t xml:space="preserve">Yang, J., et al. </w:t>
      </w:r>
      <w:hyperlink r:id="rId14">
        <w:r>
          <w:rPr>
            <w:rFonts w:ascii="Calibri" w:hAnsi="Calibri" w:eastAsia="Microsoft YaHei"/>
            <w:color w:val="2E74B5"/>
            <w:u w:val="single"/>
          </w:rPr>
          <w:t>SWE-agent: Agent-Computer Interfaces Enable Automated Software Engineering</w:t>
        </w:r>
      </w:hyperlink>
      <w:r>
        <w:rPr>
          <w:rFonts w:ascii="Calibri" w:hAnsi="Calibri" w:eastAsia="Microsoft YaHei"/>
          <w:b w:val="0"/>
          <w:color w:val="111111"/>
          <w:sz w:val="18"/>
        </w:rPr>
        <w:t>. NeurIPS 2024.</w:t>
      </w:r>
    </w:p>
    <w:p>
      <w:pPr>
        <w:spacing w:before="0" w:after="40" w:line="264" w:lineRule="auto"/>
        <w:numPr>
          <w:ilvl w:val="0"/>
          <w:numId w:val="21"/>
        </w:numPr>
      </w:pPr>
      <w:r>
        <w:rPr>
          <w:rFonts w:ascii="Calibri" w:hAnsi="Calibri" w:eastAsia="Microsoft YaHei"/>
          <w:b w:val="0"/>
          <w:color w:val="111111"/>
          <w:sz w:val="18"/>
        </w:rPr>
        <w:t xml:space="preserve">Kapoor, S., et al. </w:t>
      </w:r>
      <w:hyperlink r:id="rId15">
        <w:r>
          <w:rPr>
            <w:rFonts w:ascii="Calibri" w:hAnsi="Calibri" w:eastAsia="Microsoft YaHei"/>
            <w:color w:val="2E74B5"/>
            <w:u w:val="single"/>
          </w:rPr>
          <w:t>AI Agents That Matter</w:t>
        </w:r>
      </w:hyperlink>
      <w:r>
        <w:rPr>
          <w:rFonts w:ascii="Calibri" w:hAnsi="Calibri" w:eastAsia="Microsoft YaHei"/>
          <w:b w:val="0"/>
          <w:color w:val="111111"/>
          <w:sz w:val="18"/>
        </w:rPr>
        <w:t>. 2024.</w:t>
      </w:r>
    </w:p>
    <w:p>
      <w:pPr>
        <w:spacing w:before="0" w:after="40" w:line="264" w:lineRule="auto"/>
        <w:numPr>
          <w:ilvl w:val="0"/>
          <w:numId w:val="21"/>
        </w:numPr>
      </w:pPr>
      <w:r>
        <w:rPr>
          <w:rFonts w:ascii="Calibri" w:hAnsi="Calibri" w:eastAsia="Microsoft YaHei"/>
          <w:b w:val="0"/>
          <w:color w:val="111111"/>
          <w:sz w:val="18"/>
        </w:rPr>
        <w:t xml:space="preserve">Lopopolo, R. </w:t>
      </w:r>
      <w:hyperlink r:id="rId16">
        <w:r>
          <w:rPr>
            <w:rFonts w:ascii="Calibri" w:hAnsi="Calibri" w:eastAsia="Microsoft YaHei"/>
            <w:color w:val="2E74B5"/>
            <w:u w:val="single"/>
          </w:rPr>
          <w:t>Harness engineering: leveraging Codex in an agent-first world</w:t>
        </w:r>
      </w:hyperlink>
      <w:r>
        <w:rPr>
          <w:rFonts w:ascii="Calibri" w:hAnsi="Calibri" w:eastAsia="Microsoft YaHei"/>
          <w:b w:val="0"/>
          <w:color w:val="111111"/>
          <w:sz w:val="18"/>
        </w:rPr>
        <w:t>. OpenAI, 2026.</w:t>
      </w:r>
    </w:p>
    <w:p>
      <w:pPr>
        <w:spacing w:before="0" w:after="40" w:line="264" w:lineRule="auto"/>
        <w:numPr>
          <w:ilvl w:val="0"/>
          <w:numId w:val="21"/>
        </w:numPr>
      </w:pPr>
      <w:r>
        <w:rPr>
          <w:rFonts w:ascii="Calibri" w:hAnsi="Calibri" w:eastAsia="Microsoft YaHei"/>
          <w:b w:val="0"/>
          <w:color w:val="111111"/>
          <w:sz w:val="18"/>
        </w:rPr>
        <w:t xml:space="preserve">Anthropic. </w:t>
      </w:r>
      <w:hyperlink r:id="rId17">
        <w:r>
          <w:rPr>
            <w:rFonts w:ascii="Calibri" w:hAnsi="Calibri" w:eastAsia="Microsoft YaHei"/>
            <w:color w:val="2E74B5"/>
            <w:u w:val="single"/>
          </w:rPr>
          <w:t>Demystifying evals for AI agents</w:t>
        </w:r>
      </w:hyperlink>
      <w:r>
        <w:rPr>
          <w:rFonts w:ascii="Calibri" w:hAnsi="Calibri" w:eastAsia="Microsoft YaHei"/>
          <w:b w:val="0"/>
          <w:color w:val="111111"/>
          <w:sz w:val="18"/>
        </w:rPr>
        <w:t>. 2026.</w:t>
      </w:r>
    </w:p>
    <w:p>
      <w:pPr>
        <w:spacing w:before="0" w:after="40" w:line="264" w:lineRule="auto"/>
        <w:numPr>
          <w:ilvl w:val="0"/>
          <w:numId w:val="21"/>
        </w:numPr>
      </w:pPr>
      <w:r>
        <w:rPr>
          <w:rFonts w:ascii="Calibri" w:hAnsi="Calibri" w:eastAsia="Microsoft YaHei"/>
          <w:b w:val="0"/>
          <w:color w:val="111111"/>
          <w:sz w:val="18"/>
        </w:rPr>
        <w:t xml:space="preserve">Gu, S. </w:t>
      </w:r>
      <w:hyperlink r:id="rId18">
        <w:r>
          <w:rPr>
            <w:rFonts w:ascii="Calibri" w:hAnsi="Calibri" w:eastAsia="Microsoft YaHei"/>
            <w:color w:val="2E74B5"/>
            <w:u w:val="single"/>
          </w:rPr>
          <w:t>From Model Scaling to System Scaling: Scaling the Harness in Agentic AI</w:t>
        </w:r>
      </w:hyperlink>
      <w:r>
        <w:rPr>
          <w:rFonts w:ascii="Calibri" w:hAnsi="Calibri" w:eastAsia="Microsoft YaHei"/>
          <w:b w:val="0"/>
          <w:color w:val="111111"/>
          <w:sz w:val="18"/>
        </w:rPr>
        <w:t>. 2026.</w:t>
      </w:r>
    </w:p>
    <w:p>
      <w:pPr>
        <w:spacing w:before="0" w:after="40" w:line="264" w:lineRule="auto"/>
        <w:numPr>
          <w:ilvl w:val="0"/>
          <w:numId w:val="21"/>
        </w:numPr>
      </w:pPr>
      <w:r>
        <w:rPr>
          <w:rFonts w:ascii="Calibri" w:hAnsi="Calibri" w:eastAsia="Microsoft YaHei"/>
          <w:b w:val="0"/>
          <w:color w:val="111111"/>
          <w:sz w:val="18"/>
        </w:rPr>
        <w:t xml:space="preserve">Zhu, P., et al. </w:t>
      </w:r>
      <w:hyperlink r:id="rId19">
        <w:r>
          <w:rPr>
            <w:rFonts w:ascii="Calibri" w:hAnsi="Calibri" w:eastAsia="Microsoft YaHei"/>
            <w:color w:val="2E74B5"/>
            <w:u w:val="single"/>
          </w:rPr>
          <w:t>A Unified Framework for the Evaluation of LLM Agentic Capabilities</w:t>
        </w:r>
      </w:hyperlink>
      <w:r>
        <w:rPr>
          <w:rFonts w:ascii="Calibri" w:hAnsi="Calibri" w:eastAsia="Microsoft YaHei"/>
          <w:b w:val="0"/>
          <w:color w:val="111111"/>
          <w:sz w:val="18"/>
        </w:rPr>
        <w:t>. 2026.</w:t>
      </w:r>
    </w:p>
    <w:p>
      <w:pPr>
        <w:spacing w:before="0" w:after="40" w:line="264" w:lineRule="auto"/>
        <w:numPr>
          <w:ilvl w:val="0"/>
          <w:numId w:val="21"/>
        </w:numPr>
      </w:pPr>
      <w:r>
        <w:rPr>
          <w:rFonts w:ascii="Calibri" w:hAnsi="Calibri" w:eastAsia="Microsoft YaHei"/>
          <w:b w:val="0"/>
          <w:color w:val="111111"/>
          <w:sz w:val="18"/>
        </w:rPr>
        <w:t xml:space="preserve">Ben Sghaier, O., et al. </w:t>
      </w:r>
      <w:hyperlink r:id="rId20">
        <w:r>
          <w:rPr>
            <w:rFonts w:ascii="Calibri" w:hAnsi="Calibri" w:eastAsia="Microsoft YaHei"/>
            <w:color w:val="2E74B5"/>
            <w:u w:val="single"/>
          </w:rPr>
          <w:t>Don't Blame the Large Language Model: How Agent Harness Evolution Shapes Coding Agent Quality</w:t>
        </w:r>
      </w:hyperlink>
      <w:r>
        <w:rPr>
          <w:rFonts w:ascii="Calibri" w:hAnsi="Calibri" w:eastAsia="Microsoft YaHei"/>
          <w:b w:val="0"/>
          <w:color w:val="111111"/>
          <w:sz w:val="18"/>
        </w:rPr>
        <w:t>. 2026.</w:t>
      </w:r>
    </w:p>
    <w:p>
      <w:pPr>
        <w:spacing w:before="0" w:after="40" w:line="264" w:lineRule="auto"/>
        <w:numPr>
          <w:ilvl w:val="0"/>
          <w:numId w:val="21"/>
        </w:numPr>
      </w:pPr>
      <w:r>
        <w:rPr>
          <w:rFonts w:ascii="Calibri" w:hAnsi="Calibri" w:eastAsia="Microsoft YaHei"/>
          <w:b w:val="0"/>
          <w:color w:val="111111"/>
          <w:sz w:val="18"/>
        </w:rPr>
        <w:t xml:space="preserve">Cho, Y. </w:t>
      </w:r>
      <w:hyperlink r:id="rId21">
        <w:r>
          <w:rPr>
            <w:rFonts w:ascii="Calibri" w:hAnsi="Calibri" w:eastAsia="Microsoft YaHei"/>
            <w:color w:val="2E74B5"/>
            <w:u w:val="single"/>
          </w:rPr>
          <w:t>It's Not the Capability: Harness Sensitivity Is Non-Monotone Across LLM Agent Tiers</w:t>
        </w:r>
      </w:hyperlink>
      <w:r>
        <w:rPr>
          <w:rFonts w:ascii="Calibri" w:hAnsi="Calibri" w:eastAsia="Microsoft YaHei"/>
          <w:b w:val="0"/>
          <w:color w:val="111111"/>
          <w:sz w:val="18"/>
        </w:rPr>
        <w:t>. 2026.</w:t>
      </w:r>
    </w:p>
    <w:p>
      <w:pPr>
        <w:spacing w:before="0" w:after="40" w:line="264" w:lineRule="auto"/>
        <w:numPr>
          <w:ilvl w:val="0"/>
          <w:numId w:val="21"/>
        </w:numPr>
      </w:pPr>
      <w:r>
        <w:rPr>
          <w:rFonts w:ascii="Calibri" w:hAnsi="Calibri" w:eastAsia="Microsoft YaHei"/>
          <w:b w:val="0"/>
          <w:color w:val="111111"/>
          <w:sz w:val="18"/>
        </w:rPr>
        <w:t xml:space="preserve">Lin, J., et al. </w:t>
      </w:r>
      <w:hyperlink r:id="rId22">
        <w:r>
          <w:rPr>
            <w:rFonts w:ascii="Calibri" w:hAnsi="Calibri" w:eastAsia="Microsoft YaHei"/>
            <w:color w:val="2E74B5"/>
            <w:u w:val="single"/>
          </w:rPr>
          <w:t>Agentic Harness Engineering: Observability-Driven Automatic Evolution of Coding-Agent Harnesses</w:t>
        </w:r>
      </w:hyperlink>
      <w:r>
        <w:rPr>
          <w:rFonts w:ascii="Calibri" w:hAnsi="Calibri" w:eastAsia="Microsoft YaHei"/>
          <w:b w:val="0"/>
          <w:color w:val="111111"/>
          <w:sz w:val="18"/>
        </w:rPr>
        <w:t>. 2026.</w:t>
      </w:r>
    </w:p>
    <w:p>
      <w:pPr>
        <w:spacing w:before="0" w:after="40" w:line="264" w:lineRule="auto"/>
        <w:numPr>
          <w:ilvl w:val="0"/>
          <w:numId w:val="21"/>
        </w:numPr>
      </w:pPr>
      <w:r>
        <w:rPr>
          <w:rFonts w:ascii="Calibri" w:hAnsi="Calibri" w:eastAsia="Microsoft YaHei"/>
          <w:b w:val="0"/>
          <w:color w:val="111111"/>
          <w:sz w:val="18"/>
        </w:rPr>
        <w:t xml:space="preserve">Lukassen, F., et al. </w:t>
      </w:r>
      <w:hyperlink r:id="rId23">
        <w:r>
          <w:rPr>
            <w:rFonts w:ascii="Calibri" w:hAnsi="Calibri" w:eastAsia="Microsoft YaHei"/>
            <w:color w:val="2E74B5"/>
            <w:u w:val="single"/>
          </w:rPr>
          <w:t>CAFE: A Compound-AI Factorial Evaluation Framework</w:t>
        </w:r>
      </w:hyperlink>
      <w:r>
        <w:rPr>
          <w:rFonts w:ascii="Calibri" w:hAnsi="Calibri" w:eastAsia="Microsoft YaHei"/>
          <w:b w:val="0"/>
          <w:color w:val="111111"/>
          <w:sz w:val="18"/>
        </w:rPr>
        <w:t>. 2026.</w:t>
      </w:r>
    </w:p>
    <w:p>
      <w:pPr>
        <w:spacing w:before="0" w:after="40" w:line="264" w:lineRule="auto"/>
        <w:numPr>
          <w:ilvl w:val="0"/>
          <w:numId w:val="21"/>
        </w:numPr>
      </w:pPr>
      <w:r>
        <w:rPr>
          <w:rFonts w:ascii="Calibri" w:hAnsi="Calibri" w:eastAsia="Microsoft YaHei"/>
          <w:b w:val="0"/>
          <w:color w:val="111111"/>
          <w:sz w:val="18"/>
        </w:rPr>
        <w:t xml:space="preserve">Zhang, W., Cai, H., and Chen, W. </w:t>
      </w:r>
      <w:hyperlink r:id="rId24">
        <w:r>
          <w:rPr>
            <w:rFonts w:ascii="Calibri" w:hAnsi="Calibri" w:eastAsia="Microsoft YaHei"/>
            <w:color w:val="2E74B5"/>
            <w:u w:val="single"/>
          </w:rPr>
          <w:t>Beyond the Singular: Revealing the Value of Multiple Generations in Benchmark Evaluation</w:t>
        </w:r>
      </w:hyperlink>
      <w:r>
        <w:rPr>
          <w:rFonts w:ascii="Calibri" w:hAnsi="Calibri" w:eastAsia="Microsoft YaHei"/>
          <w:b w:val="0"/>
          <w:color w:val="111111"/>
          <w:sz w:val="18"/>
        </w:rPr>
        <w:t>. Findings of ACL 2026.</w:t>
      </w:r>
    </w:p>
    <w:p>
      <w:pPr>
        <w:spacing w:before="0" w:after="40" w:line="264" w:lineRule="auto"/>
        <w:numPr>
          <w:ilvl w:val="0"/>
          <w:numId w:val="21"/>
        </w:numPr>
      </w:pPr>
      <w:r>
        <w:rPr>
          <w:rFonts w:ascii="Calibri" w:hAnsi="Calibri" w:eastAsia="Microsoft YaHei"/>
          <w:b w:val="0"/>
          <w:color w:val="111111"/>
          <w:sz w:val="18"/>
        </w:rPr>
        <w:t xml:space="preserve">Yehudai, A., et al. </w:t>
      </w:r>
      <w:hyperlink r:id="rId26">
        <w:r>
          <w:rPr>
            <w:rFonts w:ascii="Calibri" w:hAnsi="Calibri" w:eastAsia="Microsoft YaHei"/>
            <w:color w:val="2E74B5"/>
            <w:u w:val="single"/>
          </w:rPr>
          <w:t>A Survey on Evaluation of LLM-based Agents</w:t>
        </w:r>
      </w:hyperlink>
      <w:r>
        <w:rPr>
          <w:rFonts w:ascii="Calibri" w:hAnsi="Calibri" w:eastAsia="Microsoft YaHei"/>
          <w:b w:val="0"/>
          <w:color w:val="111111"/>
          <w:sz w:val="18"/>
        </w:rPr>
        <w:t>. Findings of ACL 2026.</w:t>
      </w:r>
    </w:p>
    <w:sectPr w:rsidR="00FC693F" w:rsidRPr="0006063C" w:rsidSect="00034616">
      <w:headerReference w:type="default" r:id="rId32"/>
      <w:footerReference w:type="default" r:id="rId33"/>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B6573"/>
        <w:sz w:val="17"/>
      </w:rPr>
      <w:t xml:space="preserve">against-llm-mediocrity  ·  2026-08-12  ·  </w:t>
    </w:r>
    <w:r>
      <w:rPr>
        <w:rFonts w:ascii="Calibri" w:hAnsi="Calibri" w:eastAsia="Microsoft YaHe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80"/>
      <w:jc w:val="left"/>
      <w:pBdr>
        <w:bottom w:val="single" w:sz="4" w:space="3" w:color="D7DBE2"/>
      </w:pBdr>
    </w:pPr>
    <w:r>
      <w:rPr>
        <w:rFonts w:ascii="Calibri" w:hAnsi="Calibri" w:eastAsia="Microsoft YaHei"/>
        <w:b/>
        <w:color w:val="0B2545"/>
        <w:sz w:val="16"/>
      </w:rPr>
      <w:t>AGENT ENGINEERING · CONTROLLED EXPERIMENTS</w:t>
    </w:r>
    <w:r>
      <w:tab/>
    </w:r>
    <w:r>
      <w:rPr>
        <w:rFonts w:ascii="Calibri" w:hAnsi="Calibri" w:eastAsia="Microsoft YaHei"/>
        <w:color w:val="5B6573"/>
        <w:sz w:val="16"/>
      </w:rPr>
      <w:t>双语研究报告 · BILINGUAL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pPr>
      <w:rPr>
        <w:rFonts w:ascii="Arial" w:hAnsi="Arial"/>
      </w:rPr>
    </w:lvl>
  </w:abstractNum>
  <w:num w:numId="11">
    <w:abstractNumId w:val="10"/>
  </w:num>
  <w:abstractNum w:abstractNumId="11">
    <w:multiLevelType w:val="singleLevel"/>
    <w:lvl w:ilvl="0">
      <w:start w:val="1"/>
      <w:numFmt w:val="bullet"/>
      <w:lvlText w:val="•"/>
      <w:suff w:val="tab"/>
      <w:pPr>
        <w:tabs>
          <w:tab w:val="num" w:pos="720"/>
        </w:tabs>
        <w:ind w:left="720" w:hanging="360"/>
      </w:pPr>
      <w:rPr>
        <w:rFonts w:ascii="Arial" w:hAnsi="Arial"/>
      </w:rPr>
    </w:lvl>
  </w:abstractNum>
  <w:num w:numId="12">
    <w:abstractNumId w:val="11"/>
  </w:num>
  <w:abstractNum w:abstractNumId="12">
    <w:multiLevelType w:val="singleLevel"/>
    <w:lvl w:ilvl="0">
      <w:start w:val="1"/>
      <w:numFmt w:val="decimal"/>
      <w:lvlText w:val="%1."/>
      <w:suff w:val="tab"/>
      <w:pPr>
        <w:tabs>
          <w:tab w:val="num" w:pos="720"/>
        </w:tabs>
        <w:ind w:left="720" w:hanging="360"/>
      </w:pPr>
      <w:rPr>
        <w:rFonts w:ascii="Arial" w:hAnsi="Arial"/>
      </w:rPr>
    </w:lvl>
  </w:abstractNum>
  <w:num w:numId="13">
    <w:abstractNumId w:val="12"/>
  </w:num>
  <w:abstractNum w:abstractNumId="13">
    <w:multiLevelType w:val="singleLevel"/>
    <w:lvl w:ilvl="0">
      <w:start w:val="1"/>
      <w:numFmt w:val="bullet"/>
      <w:lvlText w:val="•"/>
      <w:suff w:val="tab"/>
      <w:pPr>
        <w:tabs>
          <w:tab w:val="num" w:pos="720"/>
        </w:tabs>
        <w:ind w:left="720" w:hanging="360"/>
      </w:pPr>
      <w:rPr>
        <w:rFonts w:ascii="Arial" w:hAnsi="Arial"/>
      </w:rPr>
    </w:lvl>
  </w:abstractNum>
  <w:num w:numId="14">
    <w:abstractNumId w:val="13"/>
  </w:num>
  <w:abstractNum w:abstractNumId="14">
    <w:multiLevelType w:val="singleLevel"/>
    <w:lvl w:ilvl="0">
      <w:start w:val="1"/>
      <w:numFmt w:val="decimal"/>
      <w:lvlText w:val="%1."/>
      <w:suff w:val="tab"/>
      <w:pPr>
        <w:tabs>
          <w:tab w:val="num" w:pos="720"/>
        </w:tabs>
        <w:ind w:left="720" w:hanging="360"/>
      </w:pPr>
      <w:rPr>
        <w:rFonts w:ascii="Arial" w:hAnsi="Arial"/>
      </w:rPr>
    </w:lvl>
  </w:abstractNum>
  <w:num w:numId="15">
    <w:abstractNumId w:val="14"/>
  </w:num>
  <w:abstractNum w:abstractNumId="15">
    <w:multiLevelType w:val="singleLevel"/>
    <w:lvl w:ilvl="0">
      <w:start w:val="1"/>
      <w:numFmt w:val="bullet"/>
      <w:lvlText w:val="•"/>
      <w:suff w:val="tab"/>
      <w:pPr>
        <w:tabs>
          <w:tab w:val="num" w:pos="720"/>
        </w:tabs>
        <w:ind w:left="720" w:hanging="360"/>
      </w:pPr>
      <w:rPr>
        <w:rFonts w:ascii="Arial" w:hAnsi="Arial"/>
      </w:rPr>
    </w:lvl>
  </w:abstractNum>
  <w:num w:numId="16">
    <w:abstractNumId w:val="15"/>
  </w:num>
  <w:abstractNum w:abstractNumId="16">
    <w:multiLevelType w:val="singleLevel"/>
    <w:lvl w:ilvl="0">
      <w:start w:val="1"/>
      <w:numFmt w:val="decimal"/>
      <w:lvlText w:val="%1."/>
      <w:suff w:val="tab"/>
      <w:pPr>
        <w:tabs>
          <w:tab w:val="num" w:pos="720"/>
        </w:tabs>
        <w:ind w:left="720" w:hanging="360"/>
      </w:pPr>
      <w:rPr>
        <w:rFonts w:ascii="Arial" w:hAnsi="Arial"/>
      </w:rPr>
    </w:lvl>
  </w:abstractNum>
  <w:num w:numId="17">
    <w:abstractNumId w:val="16"/>
  </w:num>
  <w:abstractNum w:abstractNumId="17">
    <w:multiLevelType w:val="singleLevel"/>
    <w:lvl w:ilvl="0">
      <w:start w:val="1"/>
      <w:numFmt w:val="bullet"/>
      <w:lvlText w:val="•"/>
      <w:suff w:val="tab"/>
      <w:pPr>
        <w:tabs>
          <w:tab w:val="num" w:pos="720"/>
        </w:tabs>
        <w:ind w:left="720" w:hanging="360"/>
      </w:pPr>
      <w:rPr>
        <w:rFonts w:ascii="Arial" w:hAnsi="Arial"/>
      </w:rPr>
    </w:lvl>
  </w:abstractNum>
  <w:num w:numId="18">
    <w:abstractNumId w:val="17"/>
  </w:num>
  <w:abstractNum w:abstractNumId="18">
    <w:multiLevelType w:val="singleLevel"/>
    <w:lvl w:ilvl="0">
      <w:start w:val="1"/>
      <w:numFmt w:val="decimal"/>
      <w:lvlText w:val="%1."/>
      <w:suff w:val="tab"/>
      <w:pPr>
        <w:tabs>
          <w:tab w:val="num" w:pos="720"/>
        </w:tabs>
        <w:ind w:left="720" w:hanging="360"/>
      </w:pPr>
      <w:rPr>
        <w:rFonts w:ascii="Arial" w:hAnsi="Arial"/>
      </w:rPr>
    </w:lvl>
  </w:abstractNum>
  <w:num w:numId="19">
    <w:abstractNumId w:val="18"/>
  </w:num>
  <w:abstractNum w:abstractNumId="19">
    <w:multiLevelType w:val="singleLevel"/>
    <w:lvl w:ilvl="0">
      <w:start w:val="1"/>
      <w:numFmt w:val="bullet"/>
      <w:lvlText w:val="•"/>
      <w:suff w:val="tab"/>
      <w:pPr>
        <w:tabs>
          <w:tab w:val="num" w:pos="720"/>
        </w:tabs>
        <w:ind w:left="720" w:hanging="360"/>
      </w:pPr>
      <w:rPr>
        <w:rFonts w:ascii="Arial" w:hAnsi="Arial"/>
      </w:rPr>
    </w:lvl>
  </w:abstractNum>
  <w:num w:numId="20">
    <w:abstractNumId w:val="19"/>
  </w:num>
  <w:abstractNum w:abstractNumId="20">
    <w:multiLevelType w:val="singleLevel"/>
    <w:lvl w:ilvl="0">
      <w:start w:val="1"/>
      <w:numFmt w:val="decimal"/>
      <w:lvlText w:val="%1."/>
      <w:suff w:val="tab"/>
      <w:pPr>
        <w:tabs>
          <w:tab w:val="num" w:pos="720"/>
        </w:tabs>
        <w:ind w:left="720" w:hanging="360"/>
      </w:pPr>
      <w:rPr>
        <w:rFonts w:ascii="Arial" w:hAnsi="Arial"/>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Microsoft YaHe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nguageTitle">
    <w:name w:val="Language Title"/>
    <w:pPr>
      <w:spacing w:before="0" w:after="100" w:line="264" w:lineRule="auto"/>
    </w:pPr>
    <w:rPr>
      <w:rFonts w:ascii="Calibri" w:hAnsi="Calibri" w:eastAsia="Microsoft YaHei"/>
      <w:b/>
      <w:color w:val="0B2545"/>
      <w:sz w:val="48"/>
    </w:rPr>
  </w:style>
  <w:style w:type="paragraph" w:customStyle="1" w:styleId="LanguageSubtitle">
    <w:name w:val="Language Subtitle"/>
    <w:pPr>
      <w:spacing w:before="0" w:after="320" w:line="264" w:lineRule="auto"/>
    </w:pPr>
    <w:rPr>
      <w:rFonts w:ascii="Calibri" w:hAnsi="Calibri" w:eastAsia="Microsoft YaHei"/>
      <w:b w:val="0"/>
      <w:color w:val="1F4D78"/>
      <w:sz w:val="28"/>
    </w:rPr>
  </w:style>
  <w:style w:type="paragraph" w:customStyle="1" w:styleId="CaptionCustom">
    <w:name w:val="Caption Custom"/>
    <w:pPr>
      <w:spacing w:before="0" w:after="160" w:line="264" w:lineRule="auto"/>
    </w:pPr>
    <w:rPr>
      <w:rFonts w:ascii="Calibri" w:hAnsi="Calibri" w:eastAsia="Microsoft YaHei"/>
      <w:b w:val="0"/>
      <w:color w:val="5B6573"/>
      <w:sz w:val="18"/>
    </w:rPr>
  </w:style>
  <w:style w:type="paragraph" w:customStyle="1" w:styleId="Metadata">
    <w:name w:val="Metadata"/>
    <w:pPr>
      <w:spacing w:before="0" w:after="80" w:line="264" w:lineRule="auto"/>
    </w:pPr>
    <w:rPr>
      <w:rFonts w:ascii="Calibri" w:hAnsi="Calibri" w:eastAsia="Microsoft YaHei"/>
      <w:b w:val="0"/>
      <w:color w:val="5B657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wxy2ab/against-llm-mediocrity/blob/main/docs/why-agent-engineering-needs-controlled-experiments.md" TargetMode="External"/><Relationship Id="rId10" Type="http://schemas.openxmlformats.org/officeDocument/2006/relationships/hyperlink" Target="https://github.com/wxy2ab/against-llm-mediocrity/blob/main/docs/agent-hardness-framework.zh-CN.md" TargetMode="External"/><Relationship Id="rId11" Type="http://schemas.openxmlformats.org/officeDocument/2006/relationships/hyperlink" Target="https://github.com/wxy2ab/against-llm-mediocrity/blob/main/docs/six-primitive-mismatches-pipeline-derived-taxonomy-llm-systems.zh-CN.md" TargetMode="External"/><Relationship Id="rId12" Type="http://schemas.openxmlformats.org/officeDocument/2006/relationships/image" Target="media/image1.png"/><Relationship Id="rId13" Type="http://schemas.openxmlformats.org/officeDocument/2006/relationships/hyperlink" Target="https://metr.org/time-horizons/" TargetMode="External"/><Relationship Id="rId14" Type="http://schemas.openxmlformats.org/officeDocument/2006/relationships/hyperlink" Target="https://arxiv.org/abs/2405.15793" TargetMode="External"/><Relationship Id="rId15" Type="http://schemas.openxmlformats.org/officeDocument/2006/relationships/hyperlink" Target="https://arxiv.org/abs/2407.01502" TargetMode="External"/><Relationship Id="rId16" Type="http://schemas.openxmlformats.org/officeDocument/2006/relationships/hyperlink" Target="https://openai.com/index/harness-engineering/" TargetMode="External"/><Relationship Id="rId17" Type="http://schemas.openxmlformats.org/officeDocument/2006/relationships/hyperlink" Target="https://www.anthropic.com/engineering/demystifying-evals-for-ai-agents" TargetMode="External"/><Relationship Id="rId18" Type="http://schemas.openxmlformats.org/officeDocument/2006/relationships/hyperlink" Target="https://arxiv.org/abs/2605.26112" TargetMode="External"/><Relationship Id="rId19" Type="http://schemas.openxmlformats.org/officeDocument/2006/relationships/hyperlink" Target="https://arxiv.org/abs/2605.27898" TargetMode="External"/><Relationship Id="rId20" Type="http://schemas.openxmlformats.org/officeDocument/2006/relationships/hyperlink" Target="https://arxiv.org/abs/2607.03691" TargetMode="External"/><Relationship Id="rId21" Type="http://schemas.openxmlformats.org/officeDocument/2006/relationships/hyperlink" Target="https://arxiv.org/abs/2605.26731" TargetMode="External"/><Relationship Id="rId22" Type="http://schemas.openxmlformats.org/officeDocument/2006/relationships/hyperlink" Target="https://arxiv.org/abs/2604.25850" TargetMode="External"/><Relationship Id="rId23" Type="http://schemas.openxmlformats.org/officeDocument/2006/relationships/hyperlink" Target="https://arxiv.org/abs/2607.10380" TargetMode="External"/><Relationship Id="rId24" Type="http://schemas.openxmlformats.org/officeDocument/2006/relationships/hyperlink" Target="https://aclanthology.org/2026.findings-acl.488/" TargetMode="External"/><Relationship Id="rId25" Type="http://schemas.openxmlformats.org/officeDocument/2006/relationships/hyperlink" Target="https://github.com/wxy2ab/against-llm-mediocrity/blob/main/docs/patch-vs-full-rewrite-controlled-experiment.zh-CN.md" TargetMode="External"/><Relationship Id="rId26" Type="http://schemas.openxmlformats.org/officeDocument/2006/relationships/hyperlink" Target="https://aclanthology.org/2026.findings-acl.1330/" TargetMode="External"/><Relationship Id="rId27" Type="http://schemas.openxmlformats.org/officeDocument/2006/relationships/hyperlink" Target="https://github.com/wxy2ab/against-llm-mediocrity/blob/main/docs/why-agent-engineering-needs-controlled-experiments.zh-CN.md" TargetMode="External"/><Relationship Id="rId28" Type="http://schemas.openxmlformats.org/officeDocument/2006/relationships/hyperlink" Target="https://github.com/wxy2ab/against-llm-mediocrity/blob/main/docs/agent-hardness-framework.md" TargetMode="External"/><Relationship Id="rId29" Type="http://schemas.openxmlformats.org/officeDocument/2006/relationships/hyperlink" Target="https://github.com/wxy2ab/against-llm-mediocrity/blob/main/docs/six-primitive-mismatches-pipeline-derived-taxonomy-llm-systems.md" TargetMode="External"/><Relationship Id="rId30" Type="http://schemas.openxmlformats.org/officeDocument/2006/relationships/image" Target="media/image2.png"/><Relationship Id="rId31" Type="http://schemas.openxmlformats.org/officeDocument/2006/relationships/hyperlink" Target="https://github.com/wxy2ab/against-llm-mediocrity/blob/main/docs/patch-vs-full-rewrite-controlled-experiment.md" TargetMode="External"/><Relationship Id="rId32" Type="http://schemas.openxmlformats.org/officeDocument/2006/relationships/header" Target="header1.xm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工程为什么必须重视受控实验 / Why Agent Engineering Must Take Controlled Experiments Seriously</dc:title>
  <dc:subject>Controlled experiments and six primitive mismatches in Agent Engineering</dc:subject>
  <dc:creator>against-llm-mediocrity</dc:creator>
  <cp:keywords>Agent Engineering, controlled experiments, harness, six primitive mismatches, causal evaluation</cp:keywords>
  <dc:description>Bilingual research methods report generated from the repository Markdown sources.</dc:description>
  <cp:lastModifiedBy/>
  <cp:revision>1</cp:revision>
  <dcterms:created xsi:type="dcterms:W3CDTF">2013-12-23T23:15:00Z</dcterms:created>
  <dcterms:modified xsi:type="dcterms:W3CDTF">2013-12-23T23:15:00Z</dcterms:modified>
  <cp:category/>
</cp:coreProperties>
</file>