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  <w:color w:val="000000"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color w:val="000000"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color w:val="000000"/>
          <w:sz w:val="72"/>
          <w:szCs w:val="72"/>
        </w:rPr>
        <w:t>实验报告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实验二　数据湖与质量契约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2026年10月26日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24计科4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2410311411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何嘉欣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刘锦行</w:t>
            </w:r>
          </w:p>
        </w:tc>
      </w:tr>
    </w:tbl>
    <w:p>
      <w:pPr>
        <w:pageBreakBefore/>
        <w:spacing w:after="240"/>
        <w:jc w:val="center"/>
      </w:pPr>
      <w:r>
        <w:rPr>
          <w:rFonts w:ascii="黑体" w:hAnsi="黑体" w:eastAsia="黑体"/>
          <w:b/>
          <w:color w:val="000000"/>
          <w:sz w:val="36"/>
        </w:rPr>
        <w:t>实验二　数据湖与质量契约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一、实验目的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本实验把实验一“字节能够保存并往返”的结论推进到“数据可以被可靠分析”。以 20,102 行合成服务事件为输入，建立 Bronze、Silver、Gold 三层：原始层保留全部记录，Silver 按明确契约校验、隔离和去重后写成 Parquet，Gold 用固定 SQL 口径按日期与服务聚合。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实验重点是证明清洗过程的守恒关系，区分非法、重复和同 ID 冲突，理解严格类型校验、UTC 时间、Parquet 行组、列裁剪和谓词下推，并通过个人阈值 2000→1200 的改动说明技术校验与业务政策的边界。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二、实验环境与前置数据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rPr>
          <w:cantSplit/>
        </w:trPr>
        <w:tc>
          <w:tcPr>
            <w:tcW w:type="dxa" w:w="165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741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实测值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操作系统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Windows 11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Python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3.12.13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项目解释器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D:\云计算与大数据处理\reference-BDP\.venv\Scripts\python.exe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工作目录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D:\云计算与大数据处理\reference-BDP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DuckDB / PyArrow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1.5.5 / 25.0.1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原始文件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data/raw/events.jsonl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原始规模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20,102 行，3,892,184 字节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原始 SHA-256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0d93bcd25e28047f804238c220bdb5b1d2dadf328647c07de85ba0104e8e2854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原始数据由实验一继承，随机种子为 42；raw.json 记录合法独特 20,000、重复 100、非法 2。实验二的基线运行 run_id 为 e6a3a1ca90d1478688541f770a936ddf，stage 为 verify。清洗前后没有重新生成原始文件。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3886200" cy="6761988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aseline-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761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1　实验二基线质量、守恒关系与服务汇总（学号、实验号、run_id 与结果同屏）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三、数据契约与处理规则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728"/>
        <w:gridCol w:w="4752"/>
        <w:gridCol w:w="2592"/>
      </w:tblGrid>
      <w:tr>
        <w:trPr>
          <w:cantSplit/>
        </w:trPr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475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契约</w:t>
            </w:r>
          </w:p>
        </w:tc>
        <w:tc>
          <w:tcPr>
            <w:tcW w:type="dxa" w:w="259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拒绝原因示例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event_id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非空字符串，事件主键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invalid_event_id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event_time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可解析的 ISO 时间，且 UTC 偏移必须为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invalid_event_time / non_utc_time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service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assistant、search、batch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invalid_category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model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small、medium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invalid_category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input_tokens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严格 int，且大于等于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invalid_input_tokens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output_tokens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严格 int，且大于等于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invalid_output_tokens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latency_ms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严格 int，且大于等于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invalid_latency_ms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ok、error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invalid_status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字段先检查是否存在，再检查类型、范围和枚举，最后解析时间。type(x) is int 是严格判断：布尔值虽然继承 int，但不作为 1 Token 接收；数字字符串也不隐式转换，以免掩盖上游接口错误。UTC 时间先解析，再统一规范化为 datetime.isoformat() 后参与去重。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event_id 相同且其余内容完全一致时计为重复；event_id 相同但内容不同时视为冲突并停止发布。不能默认“最后一条正确”，必须先定义更正、版本或纠错事件政策。拒绝记录写入 quarantine，保留原始行号、原因和原值，不静默删除。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四、独立手算：六行小表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152"/>
        <w:gridCol w:w="1080"/>
        <w:gridCol w:w="1440"/>
        <w:gridCol w:w="2520"/>
        <w:gridCol w:w="3024"/>
      </w:tblGrid>
      <w:tr>
        <w:trPr>
          <w:cantSplit/>
        </w:trPr>
        <w:tc>
          <w:tcPr>
            <w:tcW w:type="dxa" w:w="115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到达顺序</w:t>
            </w:r>
          </w:p>
        </w:tc>
        <w:tc>
          <w:tcPr>
            <w:tcW w:type="dxa" w:w="108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event_id</w:t>
            </w:r>
          </w:p>
        </w:tc>
        <w:tc>
          <w:tcPr>
            <w:tcW w:type="dxa" w:w="144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input_tokens</w:t>
            </w:r>
          </w:p>
        </w:tc>
        <w:tc>
          <w:tcPr>
            <w:tcW w:type="dxa" w:w="252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特别说明</w:t>
            </w:r>
          </w:p>
        </w:tc>
        <w:tc>
          <w:tcPr>
            <w:tcW w:type="dxa" w:w="302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处理结果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合法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b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合法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与第一行完全相同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重复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-1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非法负数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隔离：invalid_input_tokens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时间为 not-a-time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隔离：invalid_event_time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合法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保留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手算结果：合法独特 3 条（a、b、e），重复 1 条，隔离 2 条，保留事件的 input_tokens 总量为 10+20+30=60。数量守恒为 3+1+2=6。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若第 3 行改为 event_id=a、input_tokens=99，则它与第 1 行 ID 相同而内容不同，不能再计为普通重复，也不能简单保留最后一条。正确做法是停止发布并依据版本号、更新时间或显式纠错事件确定哪条代表业务事实；本实验的共同数据选择报冲突，避免在规则未定义时静默覆盖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五、基线质量与隔离结果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4464"/>
      </w:tblGrid>
      <w:tr>
        <w:trPr>
          <w:cantSplit/>
        </w:trPr>
        <w:tc>
          <w:tcPr>
            <w:tcW w:type="dxa" w:w="223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237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实测值</w:t>
            </w:r>
          </w:p>
        </w:tc>
        <w:tc>
          <w:tcPr>
            <w:tcW w:type="dxa" w:w="446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原始条数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20,102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JSONL 总行数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合法独特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20,000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写入 Silver 的主键唯一记录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重复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ID 与全部字段完全相同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拒绝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进入隔离区并记录原因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守恒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20,102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20000+100+2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输入 Token 总量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18,015,640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仅统计合法独特记录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440"/>
        <w:gridCol w:w="1944"/>
        <w:gridCol w:w="2808"/>
        <w:gridCol w:w="2880"/>
      </w:tblGrid>
      <w:tr>
        <w:trPr>
          <w:cantSplit/>
        </w:trPr>
        <w:tc>
          <w:tcPr>
            <w:tcW w:type="dxa" w:w="144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原始行号</w:t>
            </w:r>
          </w:p>
        </w:tc>
        <w:tc>
          <w:tcPr>
            <w:tcW w:type="dxa" w:w="194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event_id</w:t>
            </w:r>
          </w:p>
        </w:tc>
        <w:tc>
          <w:tcPr>
            <w:tcW w:type="dxa" w:w="280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拒绝原因</w:t>
            </w:r>
          </w:p>
        </w:tc>
        <w:tc>
          <w:tcPr>
            <w:tcW w:type="dxa" w:w="288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原值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20,101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bad-negative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invalid_input_tokens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input_tokens=-1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20,102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bad-time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invalid_event_time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event_time=not-a-time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两条拒绝都不是流水线失败，而是契约按预期隔离坏记录。第一条类型为整数但范围非法；第二条字段存在但无法解析为 ISO 时间。保留原值使“哪一行、为什么拒绝、原值是什么”能够追溯。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440"/>
        <w:gridCol w:w="1296"/>
        <w:gridCol w:w="1728"/>
        <w:gridCol w:w="1584"/>
        <w:gridCol w:w="1944"/>
        <w:gridCol w:w="1080"/>
      </w:tblGrid>
      <w:tr>
        <w:trPr>
          <w:cantSplit/>
        </w:trPr>
        <w:tc>
          <w:tcPr>
            <w:tcW w:type="dxa" w:w="144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service</w:t>
            </w:r>
          </w:p>
        </w:tc>
        <w:tc>
          <w:tcPr>
            <w:tcW w:type="dxa" w:w="129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请求数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输入 Token</w:t>
            </w:r>
          </w:p>
        </w:tc>
        <w:tc>
          <w:tcPr>
            <w:tcW w:type="dxa" w:w="158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输出 Token</w:t>
            </w:r>
          </w:p>
        </w:tc>
        <w:tc>
          <w:tcPr>
            <w:tcW w:type="dxa" w:w="194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延迟总和(ms)</w:t>
            </w:r>
          </w:p>
        </w:tc>
        <w:tc>
          <w:tcPr>
            <w:tcW w:type="dxa" w:w="108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错误请求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assistant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14,008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12,631,850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4,310,029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28,448,309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543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batch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2,023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1,816,567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616,515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4,079,006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78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search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3,969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3,567,223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1,219,318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8,137,035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179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服务汇总的请求数合计为 20,000，输入 Token 合计为 18,015,640，输出 Token 合计为 6,145,862。Gold 统计合法日志中的全部请求，status=error 的 800 条请求仍计入请求数和资源口径；若只对成功请求计费，必须另行定义并解释口径。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六、Parquet 存储与 SQL 聚合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Silver 文件使用 Zstd 压缩，row_group_size=4096。实际写入 20,000 行、5 个行组，schema 含 string 类型的事件与类别字段、int64 类型的三个计数字段。原始 JSONL 为 3,892,184 字节，Silver Parquet 为 224,693 字节，约缩小到原来的 5.8%；但这不是纯格式性能对照，因为 Silver 已去掉坏行和重复，JSONL 是行式文本，Parquet 是列式压缩文件。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663440" cy="3439287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quet-row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　Parquet schema、20,000 行与 5 个行组实测（run_id f6457389…814f53）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查询计划显示 READ_PARQUET 的投影只有 input_tokens，过滤条件为 service='search'，读取 1 个文件和 3,969 行。这说明查询只投影需要的列，并把过滤条件下推到扫描阶段；不能据此宣称已经发生目录分区裁剪。本章只有一个 Parquet 文件，没有按日期或服务建立目录分区；行组是文件内部的水平批次，目录分区是按路径键值拆分数据，两者不是同一概念。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SELECT CAST(CAST(event_time AS TIMESTAMP) AS DATE)::VARCHAR AS day, service,</w:t>
        <w:br/>
      </w:r>
      <w:r>
        <w:rPr>
          <w:rFonts w:ascii="Consolas" w:hAnsi="Consolas" w:eastAsia="Consolas"/>
          <w:b w:val="0"/>
          <w:color w:val="000000"/>
          <w:sz w:val="17"/>
        </w:rPr>
        <w:t xml:space="preserve">       COUNT(*) AS requests, SUM(input_tokens)::BIGINT, SUM(output_tokens)::BIGINT</w:t>
        <w:br/>
      </w:r>
      <w:r>
        <w:rPr>
          <w:rFonts w:ascii="Consolas" w:hAnsi="Consolas" w:eastAsia="Consolas"/>
          <w:b w:val="0"/>
          <w:color w:val="000000"/>
          <w:sz w:val="17"/>
        </w:rPr>
        <w:t>FROM events</w:t>
        <w:br/>
      </w:r>
      <w:r>
        <w:rPr>
          <w:rFonts w:ascii="Consolas" w:hAnsi="Consolas" w:eastAsia="Consolas"/>
          <w:b w:val="0"/>
          <w:color w:val="000000"/>
          <w:sz w:val="17"/>
        </w:rPr>
        <w:t>GROUP BY day, service</w:t>
        <w:br/>
      </w:r>
      <w:r>
        <w:rPr>
          <w:rFonts w:ascii="Consolas" w:hAnsi="Consolas" w:eastAsia="Consolas"/>
          <w:b w:val="0"/>
          <w:color w:val="000000"/>
          <w:sz w:val="17"/>
        </w:rPr>
        <w:t>ORDER BY day, service;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1296"/>
        <w:gridCol w:w="1872"/>
        <w:gridCol w:w="1872"/>
      </w:tblGrid>
      <w:tr>
        <w:trPr>
          <w:cantSplit/>
        </w:trPr>
        <w:tc>
          <w:tcPr>
            <w:tcW w:type="dxa" w:w="180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day</w:t>
            </w:r>
          </w:p>
        </w:tc>
        <w:tc>
          <w:tcPr>
            <w:tcW w:type="dxa" w:w="144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service</w:t>
            </w:r>
          </w:p>
        </w:tc>
        <w:tc>
          <w:tcPr>
            <w:tcW w:type="dxa" w:w="129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requests</w:t>
            </w:r>
          </w:p>
        </w:tc>
        <w:tc>
          <w:tcPr>
            <w:tcW w:type="dxa" w:w="187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input_tokens</w:t>
            </w:r>
          </w:p>
        </w:tc>
        <w:tc>
          <w:tcPr>
            <w:tcW w:type="dxa" w:w="187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output_tokens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2026-03-01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assistant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12,142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10,943,399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3,743,595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2026-03-01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batch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1,722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1,542,888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526,892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2026-03-01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search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3,416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3,066,824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1,043,954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2026-03-02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assistant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1,866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1,688,451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566,434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2026-03-02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batch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301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273,679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89,623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2026-03-02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search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553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500,399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175,364</w:t>
            </w:r>
          </w:p>
        </w:tc>
      </w:tr>
    </w:tbl>
    <w:p>
      <w:pPr>
        <w:spacing w:after="0"/>
      </w:pP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892040" cy="3086062"/>
            <wp:docPr id="1260220705" name="Picture 1260220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old-tot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8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3　Silver 与 Gold 请求数和 Token 总量守恒（run_id 032c60ce…5b2af）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核对结果为 silver_totals=(20000, 18015640, 6145862)，gold_totals=(20000, 18015640, 6145862)，totals_match=true。分组粒度不同但总量一致，说明聚合没有无故丢账。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七、个人改动：输入 Token 上限 2000→1200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修改前先预测：课程合法数据的 input_tokens 最大不超过 1800，因此 2000 上限不会拒绝任何已合法事件；把上限改为 1200 后，超过 1200 的合法请求会被附加业务政策拒绝，合法独特数和输入 Token 总量都应下降。由于脚本先校验再去重，原本可计入重复的高 Token 行也会先进入拒绝计数，因此重复数可能从 100 降到更低。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- MAX_INPUT_TOKENS = 2000</w:t>
        <w:br/>
      </w:r>
      <w:r>
        <w:rPr>
          <w:rFonts w:ascii="Consolas" w:hAnsi="Consolas" w:eastAsia="Consolas"/>
          <w:b w:val="0"/>
          <w:color w:val="000000"/>
          <w:sz w:val="17"/>
        </w:rPr>
        <w:t xml:space="preserve"> MAX_INPUT_TOKENS = 1200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088"/>
        <w:gridCol w:w="1296"/>
        <w:gridCol w:w="1368"/>
        <w:gridCol w:w="1008"/>
        <w:gridCol w:w="1080"/>
        <w:gridCol w:w="2016"/>
      </w:tblGrid>
      <w:tr>
        <w:trPr>
          <w:cantSplit/>
        </w:trPr>
        <w:tc>
          <w:tcPr>
            <w:tcW w:type="dxa" w:w="208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规则</w:t>
            </w:r>
          </w:p>
        </w:tc>
        <w:tc>
          <w:tcPr>
            <w:tcW w:type="dxa" w:w="129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原始条数</w:t>
            </w:r>
          </w:p>
        </w:tc>
        <w:tc>
          <w:tcPr>
            <w:tcW w:type="dxa" w:w="136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合法独特</w:t>
            </w:r>
          </w:p>
        </w:tc>
        <w:tc>
          <w:tcPr>
            <w:tcW w:type="dxa" w:w="100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重复</w:t>
            </w:r>
          </w:p>
        </w:tc>
        <w:tc>
          <w:tcPr>
            <w:tcW w:type="dxa" w:w="108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拒绝</w:t>
            </w:r>
          </w:p>
        </w:tc>
        <w:tc>
          <w:tcPr>
            <w:tcW w:type="dxa" w:w="201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输入 Token 总量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基础课程契约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20,102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20,000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18,015,640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附加上限 2000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20,102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20,000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18,015,640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附加上限 1200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20,102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13,405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6,630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8,110,488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1200 规则的拒绝构成为 policy_input_limit=6,628、invalid_input_tokens=1、invalid_event_time=1；守恒为 13,405+67+6,630=20,102。与 2000 相比，合法独特减少 6,595 条，重复减少 33 条，说明有 33 条重复记录也因超过阈值而先被拒绝。输入 Token 总量减少 9,905,152，约占原来的 55.0%。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709160" cy="4375594"/>
            <wp:docPr id="1260220706" name="Picture 1260220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licy-2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37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4　个人政策 2000 上限：20,000 条合法独特，拒绝仅来自两类坏记录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709160" cy="4375594"/>
            <wp:docPr id="1260220707" name="Picture 1260220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licy-1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37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5　个人政策 1200 上限：13,405 条合法独特，6,628 条因业务上限被拒绝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技术校验回答“记录是否合法”，业务政策回答“某类合法请求是否属于本次分析范围”。1200 上限不会把负数或坏时间变合法，也不会修复重复，它只是把“技术上合法但输入量高于业务阈值”的请求排除。该阈值适合成本控制或小请求分析，但会丢失大请求，不能直接替代课程共同契约，也不能覆盖实验三、四使用的 Silver。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八、契约探针、预期失败与恢复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2088"/>
        <w:gridCol w:w="3672"/>
      </w:tblGrid>
      <w:tr>
        <w:trPr>
          <w:cantSplit/>
        </w:trPr>
        <w:tc>
          <w:tcPr>
            <w:tcW w:type="dxa" w:w="144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探针</w:t>
            </w:r>
          </w:p>
        </w:tc>
        <w:tc>
          <w:tcPr>
            <w:tcW w:type="dxa" w:w="187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输入</w:t>
            </w:r>
          </w:p>
        </w:tc>
        <w:tc>
          <w:tcPr>
            <w:tcW w:type="dxa" w:w="208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实测结果</w:t>
            </w:r>
          </w:p>
        </w:tc>
        <w:tc>
          <w:tcPr>
            <w:tcW w:type="dxa" w:w="367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布尔值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invalid_input_tokens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bool 是 int 子类，但契约要求精确 int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数字字符串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invalid_input_tokens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不做隐式字符串转整数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整数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类型和范围均符合契约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负数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-1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invalid_input_tokens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范围小于 0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无时区时间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2026-03-01T12:00:00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non_utc_time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缺少 UTC 偏移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布尔值和字符串都得到 invalid_input_tokens，但原因不同：True 的问题在于类型不是精确 int，即使它可被 Python 当作整数参与运算；100 的问题在于值是字符串，必须由上游明确修正类型或定义转换规则。二者若被静默接受，都会掩盖接口契约错误。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800600" cy="3232404"/>
            <wp:docPr id="1260220708" name="Picture 1260220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tract-prob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3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6　布尔值、数字字符串、整数、负数与无时区时间的契约探针（run_id 5be251e8…b99ea7）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预期失败运行时，把 100 假定为可接受输入，实际返回 exit_code=1、reason=invalid_input_tokens，stderr 为 EXPECTED_ACCEPT_BUT_GOT_invalid_input_tokens。恢复时把样本改成整数 100，运行返回 exit_code=0、reason=accepted。修复的是测试样本的类型，不是放宽全局校验。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3977639" cy="2678277"/>
            <wp:docPr id="1260220709" name="Picture 1260220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ected-fail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67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7　数字字符串被拒绝的预期失败（run_id b54b88af…04151b）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251960" cy="2862986"/>
            <wp:docPr id="1260220710" name="Picture 1260220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cov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86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8　改为整数 100 后的恢复结果（run_id 16e746cf…15e39）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九、文件血缘与哈希核验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6912"/>
      </w:tblGrid>
      <w:tr>
        <w:trPr>
          <w:cantSplit/>
        </w:trPr>
        <w:tc>
          <w:tcPr>
            <w:tcW w:type="dxa" w:w="216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清单字段</w:t>
            </w:r>
          </w:p>
        </w:tc>
        <w:tc>
          <w:tcPr>
            <w:tcW w:type="dxa" w:w="691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6"/>
              </w:rPr>
              <w:t>实测值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source_sha256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0d93bcd25e28047f804238c220bdb5b1d2dadf328647c07de85ba0104e8e2854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silver_sha256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516b3d78aab91c1487d9a24979eaef514c5acb7309d0d82a6688a762836634dc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gold_sha256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654e0aeb835565d09b61f965015b61c3442c78e3cc320ca6e1e25b94e02dfc6e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rows / contract_version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20,000 / 2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时间政策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6"/>
              </w:rPr>
              <w:t>解析 UTC ISO 时间并规范化为 datetime.isoformat()</w:t>
            </w:r>
          </w:p>
        </w:tc>
      </w:tr>
    </w:tbl>
    <w:p>
      <w:pPr>
        <w:spacing w:after="0"/>
      </w:pP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37760" cy="3431743"/>
            <wp:docPr id="1260220711" name="Picture 1260220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nifest-ha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3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9　原始、Silver、Gold 三个摘要与清单一致（run_id ac8b59db…5fb408）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后续消费者先读取 silver.json，逐个重算原始文件、Silver 和 Gold 的 SHA-256，再决定是否继续计算。若原始文件变化，必须重新完成实验一往返并重跑实验二；若仅 Silver 或 Gold 损坏，则重跑实验二。不能直接改清单摘要让检查变绿。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文件清单提供内容核验和最小血缘，但不是 ACID 事务，也不是完整湖仓表格式：它没有事务日志、并发提交、快照隔离、时间旅行或多文件原子提交能力。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十、必答分析题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1. True、"100" 与整数 100 的处理不同：契约要求 input_tokens 的类型精确为 int。True 虽可被 isinstance(True, int) 识别为整数子类，但不是业务整数；"100" 是字符串，需要上游显式修正类型。只有整数 100 同时满足类型与范围。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2. 同 ID 内容冲突不能当作普通重复，因为两条记录对同一业务对象给出了不同事实。直接保留任意一条都会掩盖更正语义；应先定义版本、更新时间或纠错事件政策，再决定发布哪条。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3. 原始 JSONL 与 Silver Parquet 的大小比较不是纯格式性能对照：输入还包含 100 条重复和 2 条坏记录，Silver 已清洗；JSONL 是行式文本，Parquet 采用列式编码和 Zstd 压缩。大小差异同时来自数据范围、编码和压缩。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4. 列裁剪是只读取查询需要的列；谓词下推是把过滤条件交给底层扫描；行组是 Parquet 文件内部的一批行及其统计信息；目录分区是按日期、服务等键值拆成不同路径。本章实现了列裁剪、扫描过滤和 5 个行组，但没有实现目录分区，也不能证明所有行组都被跳过。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5. 阈值 1200 会丢掉输入量大于 1200 的合法业务请求，本次减少 6,595 条合法独特记录和约 55.0% 的输入 Token。技术校验判断字段是否合法；业务政策判断合法请求是否属于当前分析范围。前者不能放宽，后者必须由业务目标和代价共同决定。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6. 清单只保存文件摘要、行数、schema 和契约版本，能发现内容变化，但不能提供事务提交、并发控制、快照隔离或时间旅行。它适合作为最小血缘与完整性核验，不等于 ACID 数据库或完整湖仓表格式。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十一、结论与局限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实验完成了从原始 JSONL 到 Silver Parquet 再到 Gold 日汇总的可复现链路。基线 20,102 条记录全部有去向：20,000 条合法独特、100 条重复、2 条隔离，数量和 Token 总量均守恒；Gold 与 Silver 的请求数及 Token 总量一致。个人 1200 阈值进一步说明，合法数据也可能因业务范围被排除，必须把误拒绝代价写清楚。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本实验仍有边界：所有计算在单机 CPU 完成，去重使用内存字典，数据规模约 2 万行；只有一个 Parquet 文件，没有目录分区和跨机容灾；清单不是事务系统；Gold 统计包含错误请求，只代表当前资源口径。更大规模需要外部排序、分布式去重、分区治理和并发提交机制。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十二、运行证据索引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运行 JSON 与同名 HTML 位于 evidence/运行记录/，原始截图位于 evidence/截图/。本报告引用的运行如下。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3168"/>
      </w:tblGrid>
      <w:tr>
        <w:trPr>
          <w:cantSplit/>
        </w:trPr>
        <w:tc>
          <w:tcPr>
            <w:tcW w:type="dxa" w:w="158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阶段</w:t>
            </w:r>
          </w:p>
        </w:tc>
        <w:tc>
          <w:tcPr>
            <w:tcW w:type="dxa" w:w="432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run_id</w:t>
            </w:r>
          </w:p>
        </w:tc>
        <w:tc>
          <w:tcPr>
            <w:tcW w:type="dxa" w:w="316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对应截图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基线质量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e6a3a1ca90d1478688541f770a936ddf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01-baseline-quality.png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Gold 总量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032c60ce145e4b5bac22eec26fa5b2af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02-gold-totals.png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Parquet 行组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f645738912114475b6f351408c814f53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03-parquet-rowgroups.png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清单哈希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ac8b59db03da425c87bfc8ddb65fb408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04-manifest-hash.png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政策 2000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1e8f23cce022496591ff4d2b2dff0122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05-policy-2000.png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政策 1200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0a2d4a98c7ff40e8b077a5fc97d6f2cc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06-policy-1200.png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契约探针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5be251e845014e62bee30e5dbbb99ea7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07-contract-probes.png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预期失败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b54b88afad3b495f8310601935a4151b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08-expected-failure.png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恢复运行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16e746cfe24e4a5f95a6eaf282c15e39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09-recovered.png</w:t>
            </w:r>
          </w:p>
        </w:tc>
      </w:tr>
    </w:tbl>
    <w:p>
      <w:pPr>
        <w:spacing w:after="0"/>
      </w:pP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十三、代码仓库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实验一与实验二的报告、代码、运行记录和截图已汇总到以下仓库：</w:t>
      </w:r>
    </w:p>
    <w:p>
      <w:pPr>
        <w:spacing w:after="80"/>
        <w:jc w:val="left"/>
      </w:pPr>
      <w:r>
        <w:rPr>
          <w:rFonts w:ascii="宋体" w:hAnsi="宋体" w:eastAsia="宋体"/>
          <w:b/>
          <w:color w:val="000000"/>
          <w:sz w:val="21"/>
        </w:rPr>
        <w:t>https://github.com/wxzn222/cloud_computing_and_bigdata_processing</w:t>
      </w:r>
    </w:p>
    <w:p>
      <w:pPr>
        <w:spacing w:after="80"/>
        <w:jc w:val="left"/>
      </w:pPr>
      <w:r>
        <w:rPr>
          <w:rFonts w:ascii="宋体" w:hAnsi="宋体" w:eastAsia="宋体"/>
          <w:b/>
          <w:color w:val="000000"/>
          <w:sz w:val="21"/>
        </w:rPr>
        <w:t>报告正文学号：2410311411　　实验/项目号：02</w:t>
      </w:r>
    </w:p>
    <w:sectPr w:rsidR="004F6770" w:rsidRPr="008C528C">
      <w:footerReference w:type="default" r:id="rId18"/>
      <w:headerReference w:type="default" r:id="rId19"/>
      <w:headerReference w:type="first" r:id="rId20"/>
      <w:footerReference w:type="first" r:id="rId21"/>
      <w:headerReference w:type="even" r:id="rId22"/>
      <w:footerReference w:type="even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7"/>
      </w:rPr>
      <w:t>学号 2410311411　|　实验二　数据湖与质量契约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 w:after="80"/>
      <w:jc w:val="both"/>
    </w:pPr>
    <w:rPr>
      <w:rFonts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footer" Target="footer1.xm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云计算与大数据处理实验报告：实验二 数据湖与质量契约</dc:title>
  <dc:subject>实验二 数据湖与质量契约</dc:subject>
  <dc:creator>何嘉欣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