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2DD1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中期检查阶段性汇报（基于当前实现进度）</w:t>
      </w:r>
    </w:p>
    <w:p w14:paraId="2071A2FB">
      <w:pPr>
        <w:rPr>
          <w:rFonts w:hint="eastAsia"/>
        </w:rPr>
      </w:pPr>
    </w:p>
    <w:p w14:paraId="1C3B144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一、阶段性成果</w:t>
      </w:r>
    </w:p>
    <w:p w14:paraId="1E8FBF74">
      <w:pPr>
        <w:rPr>
          <w:rFonts w:hint="eastAsia"/>
        </w:rPr>
      </w:pPr>
    </w:p>
    <w:p w14:paraId="1983ED8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1. 完成了从“演示型单文件”到“模块化架构”的重构。</w:t>
      </w:r>
    </w:p>
    <w:p w14:paraId="4BF5B69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后端已拆分为 audit_engine / rag / llm_client / reporting / storage / parsers 六个服务层，app.py 仅保留路</w:t>
      </w:r>
    </w:p>
    <w:p w14:paraId="2E40DEB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由编排，便于后续迭代与测试。</w:t>
      </w:r>
    </w:p>
    <w:p w14:paraId="108498C6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2. 核心业务链路已跑通。</w:t>
      </w:r>
    </w:p>
    <w:p w14:paraId="764B624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已实现并联通：单份审查、批量审查（≤50份）、RAG法规检索、自定义规则管理、系统参数设置、历史记录留痕、报告</w:t>
      </w:r>
    </w:p>
    <w:p w14:paraId="1312870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预览与导出。</w:t>
      </w:r>
    </w:p>
    <w:p w14:paraId="075CCD41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3. 审查报告形态已按实务场景升级。</w:t>
      </w:r>
    </w:p>
    <w:p w14:paraId="55F24C6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输出从泛模板改为“审查意见体”结构，支持条款级风险项、依据与建议，且强化了脏输出清洗和JSON鲁棒解析。</w:t>
      </w:r>
    </w:p>
    <w:p w14:paraId="70C8C72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4. 报告导出能力已落地。</w:t>
      </w:r>
    </w:p>
    <w:p w14:paraId="4FECFDA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新增后端导出接口，支持 Word/PDF 生成下载；前端已对接。</w:t>
      </w:r>
    </w:p>
    <w:p w14:paraId="3A8B817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5. 前端已升级为PRD导向的6模块界面。</w:t>
      </w:r>
    </w:p>
    <w:p w14:paraId="4768503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首页、合同审查、规则管理、审查报告、法律知识库、系统设置均已接入对应API，历史记录支持查看、单条删除、清</w:t>
      </w:r>
    </w:p>
    <w:p w14:paraId="1CEBA99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空。</w:t>
      </w:r>
    </w:p>
    <w:p w14:paraId="28ACE5BC">
      <w:pPr>
        <w:rPr>
          <w:rFonts w:hint="eastAsia"/>
        </w:rPr>
      </w:pPr>
    </w:p>
    <w:p w14:paraId="24E0EA8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———</w:t>
      </w:r>
    </w:p>
    <w:p w14:paraId="4D096859">
      <w:pPr>
        <w:rPr>
          <w:rFonts w:hint="eastAsia"/>
        </w:rPr>
      </w:pPr>
    </w:p>
    <w:p w14:paraId="269D44C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二、当前存在问题</w:t>
      </w:r>
    </w:p>
    <w:p w14:paraId="0A2CEA3F">
      <w:pPr>
        <w:rPr>
          <w:rFonts w:hint="eastAsia"/>
        </w:rPr>
      </w:pPr>
    </w:p>
    <w:p w14:paraId="1ADE909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1. 审查准确率与稳定性仍需量化验证。</w:t>
      </w:r>
    </w:p>
    <w:p w14:paraId="7A50A17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目前具备可用链路，但尚未形成系统化评测集与中期指标（如核心风险识别率、隐性风险识别率、误判率）的自动评估</w:t>
      </w:r>
    </w:p>
    <w:p w14:paraId="4A15F02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闭环。</w:t>
      </w:r>
    </w:p>
    <w:p w14:paraId="4021CCD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2. 规则与模型协同仍偏“并联”，需更深融合。</w:t>
      </w:r>
    </w:p>
    <w:p w14:paraId="0FFC42E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自定义规则已命中展示，但在“冲突消解、优先级、解释一致性”方面还需完善。</w:t>
      </w:r>
    </w:p>
    <w:p w14:paraId="1FF730A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3. 部署治理存在复杂性。</w:t>
      </w:r>
    </w:p>
    <w:p w14:paraId="2623823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曾出现脚本进程与 systemd user service 并存导致版本不一致问题，说明运维规范需进一步统一。</w:t>
      </w:r>
    </w:p>
    <w:p w14:paraId="4F0CBC66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4. 测试体系不完整。</w:t>
      </w:r>
    </w:p>
    <w:p w14:paraId="73E1F16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现阶段以冒烟验证为主，缺少覆盖接口、渲染、导出、异常链路的回归测试套件。</w:t>
      </w:r>
    </w:p>
    <w:p w14:paraId="332C1669">
      <w:pPr>
        <w:rPr>
          <w:rFonts w:hint="eastAsia"/>
        </w:rPr>
      </w:pPr>
    </w:p>
    <w:p w14:paraId="5EB27E0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———</w:t>
      </w:r>
    </w:p>
    <w:p w14:paraId="56C625D6">
      <w:pPr>
        <w:rPr>
          <w:rFonts w:hint="eastAsia"/>
        </w:rPr>
      </w:pPr>
    </w:p>
    <w:p w14:paraId="76A4E15E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三、拟采取的研究方法</w:t>
      </w:r>
    </w:p>
    <w:p w14:paraId="25AA419C">
      <w:pPr>
        <w:rPr>
          <w:rFonts w:hint="eastAsia"/>
        </w:rPr>
      </w:pPr>
    </w:p>
    <w:p w14:paraId="6385D751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 任务书导向的指标化研究</w:t>
      </w:r>
    </w:p>
    <w:p w14:paraId="4FF98A2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按开题与任务书目标拆解指标：解析成功率、风险识别准确率、审查耗时、检索相关度、导出成功率，建立周度评测</w:t>
      </w:r>
    </w:p>
    <w:p w14:paraId="408CC22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表。</w:t>
      </w:r>
    </w:p>
    <w:p w14:paraId="33D6479E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 “RAG-提示词-规则”三层对照实验</w:t>
      </w:r>
    </w:p>
    <w:p w14:paraId="0E9D86B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设计A/B组：</w:t>
      </w:r>
    </w:p>
    <w:p w14:paraId="0AD3306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A组仅模型；B组模型+RAG；C组模型+RAG+自定义规则；</w:t>
      </w:r>
    </w:p>
    <w:p w14:paraId="5C7D507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比较准确率、可解释性、稳定性，形成优化依据。</w:t>
      </w:r>
    </w:p>
    <w:p w14:paraId="5F05A7AC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 误判闭环法</w:t>
      </w:r>
    </w:p>
    <w:p w14:paraId="58F9297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沉淀误判样本库（漏检/错判/依据错误），按类型迭代：检索召回、提示词约束、规则模板，持续复测。</w:t>
      </w:r>
    </w:p>
    <w:p w14:paraId="536D6331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 工程可用性方法</w:t>
      </w:r>
    </w:p>
    <w:p w14:paraId="2143D0D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引入接口回归测试、日志分级、错误码规范、部署单通道（统一 systemd）与版本核验机制，保证交付稳定。</w:t>
      </w:r>
    </w:p>
    <w:p w14:paraId="7E02E749">
      <w:pPr>
        <w:rPr>
          <w:rFonts w:hint="eastAsia"/>
        </w:rPr>
      </w:pPr>
    </w:p>
    <w:p w14:paraId="73C5F68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———</w:t>
      </w:r>
    </w:p>
    <w:p w14:paraId="1E2A23E7">
      <w:pPr>
        <w:rPr>
          <w:rFonts w:hint="eastAsia"/>
        </w:rPr>
      </w:pPr>
    </w:p>
    <w:p w14:paraId="05B4C482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四、可行性分析</w:t>
      </w:r>
      <w:bookmarkStart w:id="0" w:name="_GoBack"/>
      <w:bookmarkEnd w:id="0"/>
    </w:p>
    <w:p w14:paraId="7119E945">
      <w:pPr>
        <w:rPr>
          <w:rFonts w:hint="eastAsia"/>
        </w:rPr>
      </w:pPr>
    </w:p>
    <w:p w14:paraId="1F1F63C4">
      <w:pPr>
        <w:ind w:leftChars="0" w:firstLine="241" w:firstLineChars="100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 技术可行：核心架构与主功能已实现，后续主要是优化与评测，不是从0搭建。</w:t>
      </w:r>
    </w:p>
    <w:p w14:paraId="42F2628F">
      <w:pPr>
        <w:widowControl w:val="0"/>
        <w:ind w:left="0" w:leftChars="0" w:firstLine="241" w:firstLineChars="1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 数据可行：已有法规库与历史样本，可扩展构建中期评测集。</w:t>
      </w:r>
    </w:p>
    <w:p w14:paraId="51F7C0EE">
      <w:pPr>
        <w:widowControl w:val="0"/>
        <w:ind w:left="0" w:leftChars="0" w:firstLine="241" w:firstLineChars="1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 工程可行：模块化后改动边界清晰，支持并行推进（算法优化与前后端增强可并行）。</w:t>
      </w:r>
    </w:p>
    <w:p w14:paraId="4139E10E">
      <w:pPr>
        <w:widowControl w:val="0"/>
        <w:ind w:left="0" w:leftChars="0" w:firstLine="241" w:firstLineChars="1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 进度可行：按当前基础，进入“精度提升+测试完善+部署规范化”阶段可控，符合中期到结题的推进逻辑。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0678BF"/>
    <w:rsid w:val="41B9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2026-04-08T03:55:20Z</dcterms:created>
  <dc:creator>asus</dc:creator>
  <cp:lastModifiedBy>王国庆</cp:lastModifiedBy>
  <dcterms:modified xsi:type="dcterms:W3CDTF">2026-04-08T03:55:48Z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eyJoZGlkIjoiZmE5ZDFhNWE3YjY1MGRlN2JjMWI5OTNmN2FlYzVmNDAiLCJ1c2VySWQiOiI5MTEzODc2NzYifQ==</vt:lpwstr>
  </property>
  <property fmtid="{D5CDD505-2E9C-101B-9397-08002B2CF9AE}" pid="4" name="ICV">
    <vt:lpwstr>ED176AA424CB4AFF8620449C59ECAC7D_12</vt:lpwstr>
  </property>
</Properties>
</file>