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652EA5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基于RAG与大模型的法律合同风险智能审查助手 产品需求文档（PRD）</w:t>
      </w:r>
    </w:p>
    <w:p w14:paraId="3AA25B81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文档版本信息</w:t>
      </w:r>
      <w:bookmarkEnd w:id="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0D7A336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F6A6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版本号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42AF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更新日期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2A2D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更新人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DBB7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更新内容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4D74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审核状态</w:t>
            </w:r>
          </w:p>
        </w:tc>
      </w:tr>
      <w:tr w14:paraId="492864D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D0A5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V1.0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79B2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2026年1月27日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7DDB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产品经理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C382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初始版本，完成全模块核心需求、解决方案及产品设计文档撰写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9292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待审核</w:t>
            </w:r>
          </w:p>
        </w:tc>
      </w:tr>
    </w:tbl>
    <w:p w14:paraId="655A1341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一、核心生成方向</w:t>
      </w:r>
      <w:bookmarkEnd w:id="1"/>
    </w:p>
    <w:p w14:paraId="2F38D41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产品以“RAG+大模型”技术为核心，聚焦法律合同风险审查场景，先明确法务人员、企业合规岗等用户在合同审查中的核心痛点与真实需求，再通过RAG检索增强与大模型深度推理的协同设计，打造精准、高效、可定制的智能审查解决方案，最终转化为可落地、可验证的产品需求，确保需求与AI技术能力高度匹配，解决方案贴合法律实务场景，产品设计符合用户操作习惯、落地可行，实现“精准识别风险、提升审查效率、降低合规成本”的核心目标，同时兼顾法律专业性与产品易用性，助力用户从被动合规检查向主动风险阻断转型。</w:t>
      </w:r>
    </w:p>
    <w:p w14:paraId="3A002D60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二、核心条例（全流程内容）</w:t>
      </w:r>
      <w:bookmarkEnd w:id="2"/>
    </w:p>
    <w:p w14:paraId="00285542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（一）AI应用需求分析（PRD基础）</w:t>
      </w:r>
      <w:bookmarkEnd w:id="3"/>
    </w:p>
    <w:p w14:paraId="4B1DB324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需求背景与目标：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背景：当前法律合同审查依赖人工逐字研读，存在四大核心痛点——效率与精度失衡，单份复杂合同人工审查需数小时，隐性风险识别率不足六成；风控与实务脱节，通用审查工具无法覆盖行业专属风险点；成本居高不下，专业法务人力成本昂贵，中小企业难以承担；合规压力加剧，《民法典》《数据安全法》《个人信息保护法》等法规落地，合同合规审查要求提升，传统人工审查模式已无法满足高效、精准、全面的审查需求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核心目标（量化+定性）：定性目标为打造一款贴合法律实务、支持多场景合同审查、可定制化的智能助手，助力法务人员完成合同风险筛查、条款优化、合规校验，降低人工审查压力；量化目标为单份常规合同审查时长从2-3小时缩短至5-10分钟，核心风险条款识别准确率≥98%，隐性风险识别准确率≥90%，用户审查效率提升80%以上，降低企业合同审查人力成本60%以上，满足各类企业合规审查需求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723C3B56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用户与场景：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目标用户（分层）：核心用户为企业法务人员、合规专员（需求偏好：精准识别风险、支持条款标注、生成审查报告、可快速修改优化）；次要用户为律师、律所助理（需求偏好：支持多类型合同适配、可自定义风险规则、联动法律知识库）；潜在用户为中小企业负责人、行政人员（需求偏好：操作简单、轻量化、低成本、有基础风险预警提示）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核心使用场景：① 常规合同审查（如劳动合同、购销合同、服务合同）：用户上传合同文本，AI快速筛查核心风险（如违约责任不对等、条款模糊、合规性不足）并标注；② 专项合同审查（如数据处理协议、金融借款合同、建筑工程合同）：针对特定行业合同，AI重点审查行业专属风险点（如数据处理协议中的数据出境、分包管控，金融合同中的LPR合规性）；③ 合同条款优化：用户针对审查出的风险条款，获取AI提供的合规优化建议，一键替换修改；④ 批量合同审查：企业法务批量上传多份同类合同，AI批量筛查风险，生成汇总审查报告；⑤ 自定义规则审查：用户根据企业自身合规要求，添加自定义风险规则（如企业专属条款、行业特殊规定），AI按自定义规则完成审查；⑥ 合同审查追溯：查看历史审查记录、风险修改轨迹，便于合规复盘与归档。</w:t>
      </w:r>
      <w:r>
        <w:rPr>
          <w:rFonts w:ascii="Arial" w:hAnsi="Arial" w:eastAsia="等线" w:cs="Arial"/>
          <w:sz w:val="22"/>
        </w:rPr>
        <w:br w:type="textWrapping"/>
      </w:r>
    </w:p>
    <w:p w14:paraId="0C3895A9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核心需求拆解（区分必选/可选，标注AI支撑）：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必选需求（AI支撑）：① 合同文本解析：支持Word、PDF、TXT等多种格式合同上传，AI自动解析文本、提取核心条款（如合同主体、履行期限、违约责任、数据处理范围等）（RAG+大模型OCR+文本提取）；② 核心风险识别：AI自动筛查合同中的显性风险（如条款缺失、表述矛盾、违法违规）与隐性风险（如潜在违约隐患、权责不清、利益失衡），按风险等级（高/中/低）标注（大模型语义推理+RAG法律知识库检索）；③ 合规校验：结合最新法律法规、司法解释，对合同条款进行合规性校验，重点校验数据安全、个人信息保护等相关合规要求，标注不合规条款并说明依据（RAG检索法律知识库+大模型合规判断）；④ 审查报告生成：自动生成标准化审查报告，包含风险汇总、风险详情、合规建议、条款优化方案（大模型文本生成）；⑤ 条款优化建议：针对风险条款、不合规条款，AI提供具体、可落地的优化建议，支持一键替换修改（大模型语义生成+RAG案例参考）。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必选需求（非AI支撑）：① 合同上传/导入/导出：支持单份/批量上传、本地导入，审查完成后可导出带标注的合同文本与审查报告；② 风险标注与查看：用户可查看AI标注的风险条款，点击标注查看风险详情与法律依据；③ 基础操作便捷性：界面简洁、操作流程简单，支持文本编辑、标注修改、历史记录保存。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可选需求（AI支撑）：① 自定义风险规则：用户可添加、编辑、删除自定义风险规则，AI按规则完成审查（大模型规则匹配+RAG检索）；② 多语言合同审查：支持中英双语合同审查，自动翻译并完成风险筛查（大模型翻译+审查）；③ 合同相似度对比：对比多份合同的差异，筛查重复条款、异常修改痕迹（大模型文本对比）；④ 法律知识库联动：用户点击风险条款，可联动查看相关法律法规、类似案例，辅助决策（RAG检索+大模型关联推荐）；⑤ 立场导向审查：支持切换甲乙双方立场，AI从用户立场出发优化条款，实现利益最大化（大模型立场建模+对抗性审查）。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03FEBB5B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AI需求边界：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能做：① 解析常见格式合同文本，提取核心条款并结构化展示；② 识别合同中常见的法律风险、合规风险，标注风险等级并说明依据；③ 结合现有法律法规、司法解释及行业惯例，提供合规优化建议与条款修改方案；④ 批量处理同类合同，生成标准化审查报告；⑤ 支持用户自定义基础风险规则，按规则完成审查；⑥ 联动法律知识库，提供相关法条、案例参考。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不能做：① 替代专业法务做出最终法律决策（仅提供风险提示与建议）；② 审查极端小众、特殊类型的合同（如涉外专属管辖合同、新型无名合同），此类合同需人工补充审查；③ 解决合同中的实质性法律争议（如条款歧义引发的纠纷）；④ 确保100%风险识别（存在极个别隐性风险遗漏可能，需人工复核）；⑤ 处理非文本格式（如图片模糊、手写）的合同文本解析。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性能要求：① 文本解析响应速度：单份≤500KB合同，解析完成≤3秒；② 风险审查速度：常规合同（1-5页）审查≤5分钟，复杂合同（5-20页）≤10分钟，批量审查（≤50份常规合同）≤30分钟；③ 识别准确率：核心风险条款识别≥98%，隐性风险识别≥90%，合规校验准确率≥99%；④ 并发支持：同时在线用户≤100人时，系统响应无延迟，无卡顿；⑤ 知识库更新：法律法规、司法解释更新后，72小时内完成知识库同步，确保合规校验准确性。</w:t>
      </w:r>
      <w:r>
        <w:rPr>
          <w:rFonts w:ascii="Arial" w:hAnsi="Arial" w:eastAsia="等线" w:cs="Arial"/>
          <w:sz w:val="22"/>
        </w:rPr>
        <w:br w:type="textWrapping"/>
      </w:r>
    </w:p>
    <w:p w14:paraId="7D5A5AF3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（二）解决方案设计（衔接需求与产品）</w:t>
      </w:r>
      <w:bookmarkEnd w:id="4"/>
    </w:p>
    <w:p w14:paraId="4EF3F7F8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AI技术选型（贴合需求，成本可控，落地难度低）：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核心技术架构：采用“RAG检索增强+大模型微调”的协同架构，兼顾审查精准度与响应速度，同时降低纯大模型推理的成本与误差。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具体选型：① 大模型选型：基础大模型选用字节跳动即梦AI大模型（适配中文语义理解，推理速度快，成本可控，可快速微调），针对法律场景，用海量法律合同语料、法律法规、司法解释、典型案例进行微调，优化合同解析、风险识别、条款生成的准确性，适配法律实务场景；② RAG技术：搭建专属法律知识库，整合现行有效的法律法规、司法解释、行业惯例、典型合同案例、企业合规规则等，采用向量数据库存储，实现毫秒级检索，确保AI审查时能快速调用相关依据，提升风险识别与合规校验的精准度，解决大模型“幻觉”问题，同时支持用户自定义规则的快速检索匹配；③ 辅助技术：OCR技术（用于解析PDF、图片格式合同文本，提取可编辑文本）、文本结构化技术（用于提取合同核心条款，结构化展示）、语义相似度算法（用于合同对比、条款匹配）、权限管理技术（用于保护合同文本隐私与数据安全）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选型理由：① 即梦AI大模型中文语义理解能力强，推理速度快，可快速适配法律场景微调，且依托字节跳动技术支持，稳定性高、成本可控；② RAG技术可弥补纯大模型“记不住”最新法条、案例的缺陷，实现知识库实时更新，提升风险识别的精准度，同时降低大模型微调的成本与难度；③ 辅助技术均选用成熟、开源或低成本的解决方案，落地难度低，可快速集成，无需额外投入大量研发成本；④ 整体架构可灵活扩展，后续可根据用户需求，新增多语言审查、立场导向审查等功能，适配更多场景。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65BEF529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核心流程设计（明确AI介入节点、数据流转逻辑）：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1. 单份合同审查核心流程（AI全程介入）：用户上传合同文本（支持多格式）→ OCR技术解析文本（非文本格式）→ 大模型+文本结构化技术提取核心条款（合同主体、履行期限、违约责任等）→ RAG检索法律知识库+大模型语义推理，完成风险识别与合规校验→ AI按风险等级标注条款，生成优化建议→ 系统展示审查结果（风险标注、条款解析、优化建议）→ 用户查看、编辑、确认修改→ 生成标准化审查报告→ 用户导出合同与报告。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2. 批量合同审查核心流程（AI全程介入）：用户批量上传同类合同→ 系统自动拆分合同，逐一完成文本解析、条款提取→ AI批量完成风险识别与合规校验→ 生成批量审查汇总报告（含每份合同风险概况、整体风险统计）→ 用户查看单份合同详情、批量导出报告与合同。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3. 自定义规则审查流程（AI+用户操作）：用户进入规则管理模块，添加/编辑自定义风险规则（如企业专属条款、行业特殊规定）→ 上传合同，AI同时调用通用法律知识库与用户自定义规则→ 完成风险识别与校验，标注规则匹配的风险条款→ 展示审查结果与优化建议→ 用户确认、修改、导出。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4. 数据流转逻辑：用户上传合同（本地存储/云端临时存储）→ AI解析文本，提取核心数据（仅用于审查，不泄露）→ RAG检索知识库（通用+自定义），匹配相关法条、案例→ 大模型生成风险标注、优化建议、审查报告→ 审查完成后，用户可选择导出数据或删除本地临时数据，核心审查记录加密存储，用于后续追溯。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1A2459BA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风险与应对（AI相关+产品相关）：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1. AI相关风险：① 风险识别遗漏/误判（尤其是隐性风险、小众合同）：应对方案——优化大模型微调语料，增加小众合同、隐性风险案例语料；建立人工复核机制，高风险合同审查完成后，提示用户人工复核；开通用户反馈通道，收集误判案例，定期迭代模型与知识库；② 大模型“幻觉”，生成错误的法律依据或优化建议：应对方案——强化RAG检索增强，确保AI调用的法条、案例真实有效，每一条建议均关联明确的法律依据；建立知识库审核机制，定期更新、校验法律法规与案例，剔除失效内容；③ 响应速度延迟（批量审查、复杂合同）：应对方案——优化系统架构，采用分布式处理，提升批量审查效率；对复杂合同进行分段解析、并行审查，缩短审查时长；限制单次批量审查最大数量（≤50份），避免系统过载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2. 产品相关风险：① 合同文本隐私泄露（法律合同多含企业核心机密）：应对方案——采用端到端加密技术，用户上传的合同文本、审查记录均加密存储；支持本地审查模式（无需上传云端），满足高隐私需求用户；明确数据存储期限，用户可手动删除临时数据，定期清理过期审查记录；合规遵循《数据安全法》《个人信息保护法》相关要求，不收集、不泄露用户核心机密；② 用户操作门槛过高（非专业用户难以使用）：应对方案——优化界面设计，简化操作流程，核心功能（上传合同、查看结果）一键可达；添加操作指引、新手教程，辅助非专业用户快速上手；针对中小企业用户，推出轻量化版本，简化功能，聚焦核心风险审查；③ 知识库更新不及时（法律法规修订后，合规校验失效）：应对方案——建立知识库自动更新机制，对接官方法律法规发布渠道，72小时内完成更新；安排专人负责知识库维护，定期校验、补充法条与案例，确保合规性；④ 合同格式解析失败（特殊格式、模糊文本）：应对方案——优化OCR解析技术，提升对模糊文本、特殊格式合同的解析准确率；支持用户手动编辑解析失败的文本，补充核心条款，确保审查正常进行；明确支持的合同格式，提示用户上传规范格式文本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6332EAC7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（三）产品设计（PRD核心落地内容）</w:t>
      </w:r>
      <w:bookmarkEnd w:id="5"/>
    </w:p>
    <w:p w14:paraId="4E6B542E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产品功能设计（对应需求，明确AI功能操作逻辑、输出结果）：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模块1：首页（核心入口）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- 功能1：合同审查入口（单份/批量），一键上传合同（支持拖拽上传、本地导入），显示上传进度；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- 功能2：历史审查记录，按时间排序，显示合同名称、审查时间、风险等级，支持搜索、查看、删除、导出；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- 功能3：新手指引、操作教程入口，点击可查看核心功能操作步骤；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- 功能4：系统通知（知识库更新提示、模型迭代提示、审查完成提醒）。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模块2：合同审查模块（核心功能，AI主导）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- 子模块2.1：单份合同审查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操作逻辑：用户上传合同→ 系统解析文本（显示解析进度）→ 解析完成后，自动跳转至审查结果页→ 用户可切换“风险标注视图”“条款解析视图”“优化建议视图”；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AI输出结果：① 风险标注：合同文本中用不同颜色标注高（红）、中（黄）、低（蓝）风险条款，点击标注显示风险描述、法律依据、风险等级；② 条款解析：结构化展示提取的核心条款（合同主体、履行期限、违约责任、数据处理范围等），标注合规状态；③ 优化建议：针对每一条风险条款、不合规条款，提供具体的修改建议，支持一键替换修改，修改后实时更新风险状态；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辅助功能：文本编辑（手动修改合同文本）、标注添加（用户手动标注风险）、法条联动（点击风险条款，查看相关法条、案例）。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- 子模块2.2：批量合同审查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操作逻辑：用户点击批量上传→ 选择多份合同（≤50份）→ 系统显示上传进度、解析进度→ 解析完成后，生成汇总报告→ 用户可查看单份合同详情、批量导出报告；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AI输出结果：① 汇总报告：含批量合同总数、高/中/低风险合同数量、核心风险类型统计、整体合规评估；② 单份合同结果：与单份合同审查输出一致，支持单独查看、编辑、导出。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模块3：规则管理模块（可选功能，AI+用户操作）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- 功能1：自定义规则添加/编辑/删除，支持设置规则名称、风险等级、规则描述（如“禁止出现‘无限连带责任’未明确限定范围的条款”）、匹配关键词；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- 功能2：规则分类管理（按合同类型、风险类型分类），支持搜索、筛选；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- AI操作逻辑：用户添加规则后，AI自动将规则纳入检索范围，审查时匹配合同文本，标注符合规则的风险条款，输出对应优化建议；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- 输出结果：规则匹配的风险标注、风险描述（关联自定义规则）、优化建议。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模块4：审查报告模块（核心功能，AI主导）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- 功能1：自动生成标准化审查报告（单份/批量），报告包含合同基本信息、风险汇总、风险详情（含风险条款、描述、法律依据）、合规评估、优化建议、审查人、审查时间；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- 功能2：报告编辑（用户可手动修改报告内容，补充人工复核意见）；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- 功能3：报告导出（支持PDF、Word格式）、打印；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- AI输出结果：标准化、结构化审查报告，内容完整、逻辑清晰，风险描述、法律依据准确，优化建议可落地，批量报告增加汇总统计内容。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模块5：法律知识库模块（辅助功能，AI主导）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- 功能1：法条检索（用户输入关键词，检索相关法律法规、司法解释），支持按效力等级、发布日期筛选；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- 功能2：案例检索（检索与合同风险相关的典型案例，辅助用户决策）；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- 功能3：知识库更新提示（显示最新更新的法条、案例）；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- AI操作逻辑：RAG技术支持毫秒级检索，AI自动关联用户当前审查的合同类型、风险条款，推荐相关法条、案例；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- 输出结果：检索结果列表（含法条全文、案例摘要），支持查看详情、收藏、关联至当前审查合同。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模块6：系统设置模块（非AI功能）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- 功能1：账号管理（个人信息编辑、密码修改）、权限管理（管理员/普通用户，管理员可查看所有用户审查记录）；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- 功能2：数据管理（本地缓存清理、审查记录删除、数据存储设置）；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- 功能3：系统参数设置（风险等级阈值调整、审查速度优先级设置）；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- 功能4：反馈与帮助（用户反馈AI误判、功能问题，查看常见问题解答）。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7054A1AF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交互设计（简洁便捷，贴合用户操作习惯，适配法律实务场景）：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1. 整体交互原则：界面简洁、逻辑清晰，核心功能（合同上传、审查、查看结果、导出）一键可达，避免复杂操作；重点突出风险标注、审查结果，符合法务人员“精准、高效”的操作需求；支持深色模式，适配长时间审查操作，缓解视觉疲劳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2. 核心交互路径：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- 新手路径：首页→ 点击单份合同审查→ 上传合同→ 查看解析进度→ 查看审查结果（风险标注视图）→ 查看优化建议→ 导出合同与报告；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- 熟练用户路径：首页→ 快速上传合同/批量上传→ 直接查看审查结果→ 编辑修改→ 导出/保存；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- 自定义规则路径：首页→ 规则管理→ 添加规则→ 上传合同→ 按自定义规则审查→ 查看结果。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3. 细节交互设计：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- 风险标注交互：点击标注弹出详情弹窗，包含风险描述、法律依据、优化建议，支持一键跳转至对应法条；双击标注可取消标注（人工复核后确认无风险）；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- 条款优化交互：点击“一键替换”，自动替换风险条款为优化建议内容，替换后实时刷新风险状态，显示“已优化”标识；支持手动编辑优化建议，编辑后AI重新校验合规性；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- 批量审查交互：上传过程中支持暂停、取消，解析完成后显示汇总报告缩略图，点击可查看详情，支持按风险等级筛选单份合同；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- 知识库交互：检索结果支持关键词高亮，点击案例可查看全文，支持“关联至当前合同”，跳转至对应风险条款；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- 反馈交互：在审查结果页、知识库页面设置“反馈”按钮，用户可快速反馈AI误判、功能问题，填写反馈内容后提交，系统自动记录并提示“反馈已收到，将用于模型迭代”。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4. 适配设计：支持PC端（核心适配，大屏查看合同、标注更清晰）、平板端（轻量化适配，支持移动查看结果），暂不支持手机端（合同文本过小，标注、编辑不便）。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14BB61D4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数据需求（AI训练/运行，数据安全与合规）：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1. AI训练/运行所需数据：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- 训练数据：① 合同语料（涵盖劳动合同、购销合同、数据处理协议、金融合同、建筑合同等多类型，包含正常合同、含风险合同，总量≥10万份，确保覆盖各类风险场景、行业场景）；② 法律知识库数据（现行有效的法律法规、司法解释、典型案例、行业惯例，总量≥5万条，确保准确性、时效性，重点包含《民法典》《数据安全法》《个人信息保护法》等相关内容）；③ 用户反馈数据（误判案例、优化建议反馈，用于模型迭代）；④ 自定义规则数据（用户添加的规则，用于模型适配）。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- 运行数据：用户上传的合同文本（临时存储，用于审查）、提取的核心条款数据、审查过程中的操作数据（用于优化交互、提升AI准确性）、审查结果数据（用于生成报告、历史追溯）。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- 数据格式：合同文本（Word、PDF、TXT）、结构化数据（JSON、Excel，用于条款提取、规则存储）、文本数据（法条、案例、反馈内容）、图像数据（OCR解析用，仅临时存储）。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- 数据量级：初始训练数据（合同语料≥10万份、法律知识库≥5万条）；运行数据按用户使用量动态增长，单用户单份合同数据≤10MB，批量审查单次数据≤500MB。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2. 数据来源：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- 训练数据：公开可获取的法律合同范本、典型案例（合规获取，不涉及隐私）；合作律所提供的匿名化合同语料（去除企业核心机密、个人信息）；公开的法律法规、司法解释（官方渠道获取）；用户反馈的匿名化误判案例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- 运行数据：用户主动上传的合同文本、手动添加的自定义规则、操作过程中生成的交互数据、审查结果数据。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3. 数据安全与合规要求（核心重点，贴合法律场景）：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- 数据加密：采用端到端加密技术，用户上传的合同文本、审查记录、核心数据均加密存储（传输加密、存储加密），密钥由用户自主管理（可选）；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- 隐私保护：不收集、不泄露用户企业核心机密、个人信息，合同文本解析后仅提取核心条款用于审查，不保留完整隐私信息；支持本地审查模式，合同文本不上传云端，仅在本地完成解析、审查，确保隐私安全；严格遵循《数据安全法》《个人信息保护法》相关要求，规范数据收集、存储、使用、销毁流程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- 数据存储：云端存储仅用于保存用户审查记录、知识库数据、模型训练数据（匿名化），存储期限不超过3年，用户可手动删除自身所有数据；本地临时存储的数据，审查完成后自动清理（可设置保留7天）；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- 数据合规：训练数据均为合规获取，不涉及侵权、隐私泄露；法律法规、案例数据来自官方渠道，确保真实性、合规性；用户上传的合同文本需符合相关法律规定，禁止上传违法违规合同，系统设置违禁内容筛查机制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- 数据销毁：用户删除数据后，彻底删除云端、本地所有相关数据，无法恢复；存储期满后，自动销毁过期数据（匿名化训练数据除外，用于模型迭代的需持续加密存储）。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6019F58D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验收标准（量化+定性，针对AI功能、产品功能，可落地验证）：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1. AI功能验收标准（核心重点）：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- 合同解析：① 格式适配：支持Word（2016及以上）、PDF（可编辑/扫描版）、TXT格式，解析成功率≥98%；扫描版PDF解析准确率≥95%（清晰文本）；② 条款提取：核心条款（合同主体、履行期限、违约责任、标的、数据处理范围等）提取准确率≥99%，无遗漏核心条款；③ 响应速度：单份≤500KB合同，解析完成≤3秒。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- 风险识别：① 准确率：核心风险条款识别≥98%，隐性风险识别≥90%，无重大风险遗漏；误判率≤2%（重大风险误判率≤0.5%）；② 风险等级划分：划分准确率≥97%，符合法律实务中的风险评估标准；③ 法律依据：每一条风险标注均关联明确、有效的法律依据，无错误依据、失效依据；④ 响应速度：常规合同（1-5页）审查≤5分钟，复杂合同（5-20页）≤10分钟，批量审查（≤50份常规合同）≤30分钟。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- 条款优化：① 优化建议：针对风险条款、不合规条款，优化建议可落地、符合法律规定，适配合同场景，建议准确率≥98%；② 一键替换：替换后条款合规、无新风险，替换成功率≥99%；③ 立场导向（可选）：切换立场后，优化建议贴合对应立场，实现利益最大化，适配度≥97%。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- 知识库：① 检索速度：关键词检索≤1秒，关联检索≤2秒；② 准确性：知识库法条、案例真实有效，无失效内容，更新及时（法律法规修订后72小时内更新）；③ 关联度：AI推荐的法条、案例与风险条款关联度≥95%，无无关推荐。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- 自定义规则：① 匹配准确率：按自定义规则审查，规则匹配准确率≥99%，无漏匹配、误匹配；② 响应速度：添加自定义规则后，审查速度无明显延迟（≤额外1分钟）。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2. 产品功能验收标准：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- 上传/导出：单份/批量上传成功率≥99%，支持拖拽上传、本地导入；导出格式（Word、PDF）正确，无内容缺失、格式错乱，导出速度≤3秒/份；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- 操作便捷性：核心操作路径≤3步，新手用户可在5分钟内完成一次单份合同审查；界面无卡顿、无闪退，操作响应≤1秒；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- 历史记录：历史审查记录保存完整，支持搜索、删除、查看，检索准确率≥99%；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- 权限管理：管理员可查看所有用户审查记录，普通用户仅能查看自身记录，权限划分清晰，无权限泄露；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- 数据安全：合同文本、审查记录加密存储，无泄露风险；支持本地审查模式，数据不上传云端；用户可手动删除数据，删除后无法恢复。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3. 定性验收标准：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- 贴合法律实务：风险识别、合规校验、优化建议符合法律实务操作规范，可直接用于合同审查工作，无需大量人工调整；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- 操作便捷性：适配法务人员操作习惯，界面简洁、重点突出，风险标注清晰，审查结果易于理解；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- 可扩展性：产品架构可灵活扩展，后续可新增多语言审查、多场景适配等功能，无需大规模重构；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- 合规性：产品整体符合《数据安全法》《个人信息保护法》等相关法律法规，数据收集、存储、使用合规，无合规风险。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4CCC6EBF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（四）PRD收尾（落地指引）</w:t>
      </w:r>
      <w:bookmarkEnd w:id="6"/>
    </w:p>
    <w:p w14:paraId="2ED49BD1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优先级排序（按“核心必选→重要必选→可选”排序，明确迭代顺序）：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V1.0版本（核心落地版本，优先实现）：① 核心必选功能：合同上传/导出、单份合同文本解析、核心风险识别、合规校验、审查报告生成、条款优化建议、基础历史记录；② AI核心能力：大模型基础微调（适配常见合同类型）、RAG基础法律知识库（核心法律法规、案例）、OCR文本解析；③ 基础交互：风险标注、法条联动（基础）、简单编辑功能。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V1.1版本（迭代优化版本）：① 重要必选功能：批量合同审查、批量审查汇总报告、完善历史记录（检索、筛选）；② AI优化：提升隐性风险识别准确率、优化优化建议的可落地性、完善知识库（新增行业惯例）；③ 交互优化：优化风险标注细节、完善导出功能（支持批量导出）。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V1.2版本（功能扩展版本）：① 可选功能：自定义规则管理、法律知识库完善（新增更多案例、法条）；② AI优化：适配小众合同类型、降低误判率、优化批量审查速度；③ 交互优化：新增深色模式、完善新手教程、优化反馈功能。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V2.0版本（功能升级版本）：① 可选功能：多语言合同审查、合同相似度对比、立场导向审查；② AI升级：大模型深度微调（适配更多行业场景）、RAG检索优化（更快速度、更高关联度）；③ 产品升级：新增管理员权限、完善数据安全设置、适配平板端。</w:t>
      </w:r>
    </w:p>
    <w:p w14:paraId="21EA84B8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落地约束（明确开发、成本、技术、合规约束，确保可落地）：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1. 开发周期约束：V1.0版本开发周期≤3个月（需求梳理1周、UI设计2周、前端开发4周、后端开发6周、AI模型微调4周、测试2周、上线1周）；V1.1版本迭代周期≤1.5个月；V1.2版本迭代周期≤1.5个月；V2.0版本开发周期≤3个月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2. 成本约束：① 技术成本：依托字节跳动即梦AI大模型，降低模型研发成本；选用成熟辅助技术（OCR、向量数据库），减少研发投入；② 人力成本：核心团队配置（产品经理1名、UI设计师1名、前端开发2名、后端开发2名、AI算法工程师2名、测试工程师1名、法务顾问1名）；③ 数据成本：训练数据优先选用公开可获取资源、合作律所匿名化数据，降低数据采集成本。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3. 技术约束：① 大模型微调：基于字节跳动即梦AI大模型进行微调，不自主研发基础大模型，降低技术难度与成本；② 系统架构：采用分布式架构，支持后续扩展，适配批量审查、多用户并发需求；③ 兼容性：前端适配主流浏览器（Chrome、Edge、Firefox，最新版本），PC端适配Windows10及以上、MacOS12及以上系统；④ 数据存储：云端存储选用合规服务商，确保数据安全，本地存储支持主流硬盘格式。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4. 合规约束：① 数据合规：所有训练数据、运行数据均合规获取，不涉及隐私泄露、侵权；严格遵循《数据安全法》《个人信息保护法》，规范数据收集、存储、使用、销毁流程；② 法律合规：产品风险识别、合规校验、优化建议均符合现行法律法规、司法解释，不提供错误法律指导；③ 隐私保护：严格保护用户合同隐私，采用端到端加密技术，不收集、不泄露用户核心机密，支持本地审查模式，满足高隐私需求。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4B1D1790">
      <w:pPr>
        <w:numPr>
          <w:numId w:val="0"/>
        </w:numPr>
        <w:spacing w:before="120" w:after="120" w:line="288" w:lineRule="auto"/>
        <w:jc w:val="left"/>
      </w:pPr>
      <w:bookmarkStart w:id="7" w:name="_GoBack"/>
      <w:bookmarkEnd w:id="7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2887F0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450FAC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">
    <w:nsid w:val="B5E306ED"/>
    <w:multiLevelType w:val="singleLevel"/>
    <w:tmpl w:val="B5E306ED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">
    <w:nsid w:val="BF205925"/>
    <w:multiLevelType w:val="singleLevel"/>
    <w:tmpl w:val="BF20592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">
    <w:nsid w:val="C8879AEF"/>
    <w:multiLevelType w:val="singleLevel"/>
    <w:tmpl w:val="C8879AE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">
    <w:nsid w:val="0248C179"/>
    <w:multiLevelType w:val="singleLevel"/>
    <w:tmpl w:val="0248C17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7">
    <w:nsid w:val="03D62ECE"/>
    <w:multiLevelType w:val="singleLevel"/>
    <w:tmpl w:val="03D62EC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8">
    <w:nsid w:val="25B654F3"/>
    <w:multiLevelType w:val="singleLevel"/>
    <w:tmpl w:val="25B654F3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9">
    <w:nsid w:val="2A8F537B"/>
    <w:multiLevelType w:val="singleLevel"/>
    <w:tmpl w:val="2A8F537B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0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1">
    <w:nsid w:val="5A241D34"/>
    <w:multiLevelType w:val="singleLevel"/>
    <w:tmpl w:val="5A241D3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2">
    <w:nsid w:val="72183CF9"/>
    <w:multiLevelType w:val="singleLevel"/>
    <w:tmpl w:val="72183CF9"/>
    <w:lvl w:ilvl="0" w:tentative="0">
      <w:start w:val="1"/>
      <w:numFmt w:val="decimal"/>
      <w:lvlText w:val="%1."/>
      <w:lvlJc w:val="left"/>
      <w:rPr>
        <w:color w:val="3370FF"/>
      </w:rPr>
    </w:lvl>
  </w:abstractNum>
  <w:num w:numId="1">
    <w:abstractNumId w:val="5"/>
  </w:num>
  <w:num w:numId="2">
    <w:abstractNumId w:val="4"/>
  </w:num>
  <w:num w:numId="3">
    <w:abstractNumId w:val="10"/>
  </w:num>
  <w:num w:numId="4">
    <w:abstractNumId w:val="2"/>
  </w:num>
  <w:num w:numId="5">
    <w:abstractNumId w:val="1"/>
  </w:num>
  <w:num w:numId="6">
    <w:abstractNumId w:val="7"/>
  </w:num>
  <w:num w:numId="7">
    <w:abstractNumId w:val="8"/>
  </w:num>
  <w:num w:numId="8">
    <w:abstractNumId w:val="12"/>
  </w:num>
  <w:num w:numId="9">
    <w:abstractNumId w:val="6"/>
  </w:num>
  <w:num w:numId="10">
    <w:abstractNumId w:val="0"/>
  </w:num>
  <w:num w:numId="11">
    <w:abstractNumId w:val="9"/>
  </w:num>
  <w:num w:numId="12">
    <w:abstractNumId w:val="11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647937A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13</Pages>
  <Words>10981</Words>
  <Characters>11438</Characters>
  <TotalTime>1</TotalTime>
  <ScaleCrop>false</ScaleCrop>
  <LinksUpToDate>false</LinksUpToDate>
  <CharactersWithSpaces>12462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2026-01-27T06:31:00Z</dcterms:created>
  <dc:creator>Apache POI</dc:creator>
  <cp:lastModifiedBy>王国庆</cp:lastModifiedBy>
  <dcterms:modified xsi:type="dcterms:W3CDTF">2026-03-01T14:37:56Z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eyJoZGlkIjoiZmE5ZDFhNWE3YjY1MGRlN2JjMWI5OTNmN2FlYzVmNDAiLCJ1c2VySWQiOiI5MTEzODc2NzYifQ==</vt:lpwstr>
  </property>
  <property fmtid="{D5CDD505-2E9C-101B-9397-08002B2CF9AE}" pid="3" name="KSOProductBuildVer">
    <vt:lpwstr>2052-12.1.0.25225</vt:lpwstr>
  </property>
  <property fmtid="{D5CDD505-2E9C-101B-9397-08002B2CF9AE}" pid="4" name="ICV">
    <vt:lpwstr>C300968F519D4C088EFE7EDF5843A187_12</vt:lpwstr>
  </property>
</Properties>
</file>