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C2EBF">
      <w:pPr>
        <w:jc w:val="center"/>
        <w:rPr>
          <w:rFonts w:hint="eastAsia" w:ascii="宋体" w:hAnsi="宋体" w:cs="宋体"/>
          <w:b/>
          <w:sz w:val="30"/>
          <w:szCs w:val="30"/>
        </w:rPr>
      </w:pPr>
      <w:r>
        <w:rPr>
          <w:rFonts w:hint="eastAsia" w:ascii="宋体" w:hAnsi="宋体" w:cs="宋体"/>
          <w:b/>
          <w:sz w:val="30"/>
          <w:szCs w:val="30"/>
        </w:rPr>
        <w:t>毕业设计（论文）开题报告</w:t>
      </w:r>
    </w:p>
    <w:p w14:paraId="5D2E631A">
      <w:pPr>
        <w:rPr>
          <w:rFonts w:hint="eastAsia" w:ascii="宋体" w:hAnsi="宋体" w:cs="宋体"/>
          <w:b/>
        </w:rPr>
      </w:pPr>
      <w:r>
        <w:rPr>
          <w:rFonts w:hint="eastAsia" w:ascii="宋体" w:hAnsi="宋体" w:cs="宋体"/>
          <w:bCs/>
        </w:rPr>
        <w:t xml:space="preserve"> </w:t>
      </w:r>
      <w:r>
        <w:rPr>
          <w:rFonts w:hint="eastAsia" w:ascii="宋体" w:hAnsi="宋体" w:cs="宋体"/>
        </w:rPr>
        <w:t xml:space="preserve">                                                             </w:t>
      </w:r>
      <w:r>
        <w:rPr>
          <w:rFonts w:hint="eastAsia" w:ascii="宋体" w:hAnsi="宋体" w:cs="宋体"/>
          <w:lang w:val="en-US" w:eastAsia="zh-CN"/>
        </w:rPr>
        <w:t>2025</w:t>
      </w:r>
      <w:r>
        <w:rPr>
          <w:rFonts w:hint="eastAsia" w:ascii="宋体" w:hAnsi="宋体" w:cs="宋体"/>
        </w:rPr>
        <w:t>年</w:t>
      </w:r>
      <w:r>
        <w:rPr>
          <w:rFonts w:hint="eastAsia" w:ascii="宋体" w:hAnsi="宋体" w:cs="宋体"/>
          <w:lang w:val="en-US" w:eastAsia="zh-CN"/>
        </w:rPr>
        <w:t>3</w:t>
      </w:r>
      <w:r>
        <w:rPr>
          <w:rFonts w:hint="eastAsia" w:ascii="宋体" w:hAnsi="宋体" w:cs="宋体"/>
        </w:rPr>
        <w:t>月</w:t>
      </w:r>
      <w:r>
        <w:rPr>
          <w:rFonts w:hint="eastAsia" w:ascii="宋体" w:hAnsi="宋体" w:cs="宋体"/>
          <w:lang w:val="en-US" w:eastAsia="zh-CN"/>
        </w:rPr>
        <w:t>1</w:t>
      </w:r>
      <w:r>
        <w:rPr>
          <w:rFonts w:hint="eastAsia" w:ascii="宋体" w:hAnsi="宋体" w:cs="宋体"/>
        </w:rPr>
        <w:t>日</w:t>
      </w:r>
    </w:p>
    <w:tbl>
      <w:tblPr>
        <w:tblStyle w:val="6"/>
        <w:tblW w:w="89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0"/>
        <w:gridCol w:w="1333"/>
        <w:gridCol w:w="863"/>
        <w:gridCol w:w="1800"/>
        <w:gridCol w:w="1080"/>
        <w:gridCol w:w="2520"/>
      </w:tblGrid>
      <w:tr w14:paraId="39C73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  <w:jc w:val="center"/>
        </w:trPr>
        <w:tc>
          <w:tcPr>
            <w:tcW w:w="1330" w:type="dxa"/>
            <w:noWrap w:val="0"/>
            <w:vAlign w:val="center"/>
          </w:tcPr>
          <w:p w14:paraId="4D201AE3">
            <w:pPr>
              <w:jc w:val="center"/>
              <w:rPr>
                <w:rFonts w:hint="eastAsia"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课题名称</w:t>
            </w:r>
          </w:p>
        </w:tc>
        <w:tc>
          <w:tcPr>
            <w:tcW w:w="7596" w:type="dxa"/>
            <w:gridSpan w:val="5"/>
            <w:noWrap w:val="0"/>
            <w:vAlign w:val="center"/>
          </w:tcPr>
          <w:p w14:paraId="2422AD8E">
            <w:pPr>
              <w:jc w:val="center"/>
              <w:rPr>
                <w:rFonts w:hint="eastAsia" w:ascii="宋体" w:hAnsi="宋体" w:cs="宋体"/>
                <w:b/>
                <w:sz w:val="24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基于 RAG 与大模型的法律合同风险智能审查助手</w:t>
            </w:r>
          </w:p>
        </w:tc>
      </w:tr>
      <w:tr w14:paraId="0C08C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1330" w:type="dxa"/>
            <w:noWrap w:val="0"/>
            <w:vAlign w:val="center"/>
          </w:tcPr>
          <w:p w14:paraId="65A51D29">
            <w:pPr>
              <w:jc w:val="center"/>
              <w:rPr>
                <w:rFonts w:hint="eastAsia"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学生姓名</w:t>
            </w:r>
          </w:p>
        </w:tc>
        <w:tc>
          <w:tcPr>
            <w:tcW w:w="1333" w:type="dxa"/>
            <w:noWrap w:val="0"/>
            <w:vAlign w:val="center"/>
          </w:tcPr>
          <w:p w14:paraId="736049DC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王延</w:t>
            </w:r>
          </w:p>
        </w:tc>
        <w:tc>
          <w:tcPr>
            <w:tcW w:w="863" w:type="dxa"/>
            <w:noWrap w:val="0"/>
            <w:vAlign w:val="center"/>
          </w:tcPr>
          <w:p w14:paraId="337173EB">
            <w:pPr>
              <w:jc w:val="center"/>
              <w:rPr>
                <w:rFonts w:hint="eastAsia"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学号</w:t>
            </w:r>
          </w:p>
        </w:tc>
        <w:tc>
          <w:tcPr>
            <w:tcW w:w="1800" w:type="dxa"/>
            <w:noWrap w:val="0"/>
            <w:vAlign w:val="center"/>
          </w:tcPr>
          <w:p w14:paraId="03609892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202215000432</w:t>
            </w:r>
          </w:p>
        </w:tc>
        <w:tc>
          <w:tcPr>
            <w:tcW w:w="1080" w:type="dxa"/>
            <w:noWrap w:val="0"/>
            <w:vAlign w:val="center"/>
          </w:tcPr>
          <w:p w14:paraId="115B59A9">
            <w:pPr>
              <w:jc w:val="center"/>
              <w:rPr>
                <w:rFonts w:hint="eastAsia"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专业班级</w:t>
            </w:r>
          </w:p>
        </w:tc>
        <w:tc>
          <w:tcPr>
            <w:tcW w:w="2520" w:type="dxa"/>
            <w:noWrap w:val="0"/>
            <w:vAlign w:val="center"/>
          </w:tcPr>
          <w:p w14:paraId="2ABDA4CD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软件工程 一班</w:t>
            </w:r>
          </w:p>
        </w:tc>
      </w:tr>
      <w:tr w14:paraId="39FD9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5" w:hRule="atLeast"/>
          <w:jc w:val="center"/>
        </w:trPr>
        <w:tc>
          <w:tcPr>
            <w:tcW w:w="8926" w:type="dxa"/>
            <w:gridSpan w:val="6"/>
            <w:noWrap w:val="0"/>
            <w:vAlign w:val="top"/>
          </w:tcPr>
          <w:p w14:paraId="3C5C78C9">
            <w:pPr>
              <w:snapToGrid w:val="0"/>
              <w:spacing w:after="124" w:afterLines="40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hint="eastAsia" w:ascii="宋体" w:hAnsi="宋体" w:cs="宋体"/>
                <w:b/>
              </w:rPr>
              <w:t>一、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开题依据</w:t>
            </w:r>
          </w:p>
          <w:p w14:paraId="48D541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firstLine="360" w:firstLineChars="200"/>
              <w:jc w:val="left"/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在法律行业快速发展的背景下，合同风险审查是法律实务中的关键环节。传统人工审查模式存在效率低下、易遗漏风险点、专业门槛高的问题。这些问题难以满足大规模、高效率的合同审查需求。本课题结合检索增强生成（RAG）技术与大模型，设计并实现法律合同风险智能审查助手。其目的在于解决纯大模型审查过程中存在的幻觉、专业知识不足等缺陷。通过构建法律领域专用知识库，优化 RAG 与大模型的协同流程，本课题能够实现合同条款的自动化、精准化风险识别。这不仅可以提升合同审查的效率与准确率，还能降低中小企业的法律审查成本，具有重要的实际应用价值。同时，本课题的研究成果可为法律人工智能领域的相关应用提供技术参考，推动法律科技的智能化发展。</w:t>
            </w:r>
          </w:p>
          <w:p w14:paraId="69E7F4AD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（一）国内研究现状</w:t>
            </w:r>
          </w:p>
          <w:p w14:paraId="5DD31B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firstLine="360" w:firstLineChars="200"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国内对于法律智能审查的研究，目前多集中于基于规则引擎和传统机器学习的合同审查系统。这类系统能够实现简单条款的合规性检测，但在处理复杂语义、隐含风险点时存在局限性。近年来，随着大模型技术的发展，部分学者开始探索大模型在法律领域的应用。不过，纯大模型方案面临幻觉问题和专业知识更新不及时的难题。针对这一问题，国内研究逐渐转向 RAG 与大模型的融合方向。相关研究主要聚焦于法律知识库的构建方法和检索策略优化。这些研究为法律文本的智能处理提供了新思路，但在多维度风险评估体系和人机交互系统的落地应用方面，仍有待进一步完善。</w:t>
            </w:r>
          </w:p>
          <w:p w14:paraId="2A561132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（二）国外研究现状</w:t>
            </w:r>
          </w:p>
          <w:p w14:paraId="700637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firstLine="360" w:firstLineChars="200"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国外在法律人工智能领域的研究起步较早。其研究成果涵盖法律文本分析、判例检索、合同智能审查等多个方向。在大模型应用方面，国外研究机构通过对大模型进行法律领域微调，提升了模型在法律任务上的性能。但同样面临幻觉和知识时效性问题。RAG 技术在国外的研究中，更多地与法律知识库结合，实现了判例、法条的精准检索与问答。不过，针对合同风险的多维度评估模型设计，以及不同审查方案的对比验证研究相对较少。</w:t>
            </w:r>
          </w:p>
          <w:p w14:paraId="06F2B0CE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（三）总结</w:t>
            </w:r>
          </w:p>
          <w:p w14:paraId="60D286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firstLine="360" w:firstLineChars="200"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综上所述，国内外研究均表明，RAG 与大模型的融合是解决法律智能审查痛点的有效路径。但目前的研究在风险评估体系的完整性、系统的易用性和落地性方面仍存在不足。本课题将针对这些不足展开研究，形成可落地的智能审查方案。</w:t>
            </w:r>
          </w:p>
          <w:p w14:paraId="1A2FDAC6">
            <w:pPr>
              <w:snapToGrid w:val="0"/>
              <w:spacing w:after="124" w:afterLines="40"/>
              <w:rPr>
                <w:rFonts w:hint="eastAsia" w:ascii="宋体" w:hAnsi="宋体" w:cs="宋体"/>
                <w:szCs w:val="21"/>
              </w:rPr>
            </w:pPr>
          </w:p>
        </w:tc>
      </w:tr>
      <w:tr w14:paraId="465CD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9" w:hRule="atLeast"/>
          <w:jc w:val="center"/>
        </w:trPr>
        <w:tc>
          <w:tcPr>
            <w:tcW w:w="8926" w:type="dxa"/>
            <w:gridSpan w:val="6"/>
            <w:noWrap w:val="0"/>
            <w:vAlign w:val="top"/>
          </w:tcPr>
          <w:p w14:paraId="25A30800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二、 研究目的、意义</w:t>
            </w:r>
          </w:p>
          <w:p w14:paraId="34D85A5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1. 研究目的</w:t>
            </w:r>
          </w:p>
          <w:p w14:paraId="212CBC06">
            <w:pPr>
              <w:ind w:firstLine="360" w:firstLineChars="20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本研究立足于法律科技的前沿应用，旨在通过深度融合检索增强生成（RAG）技术与大语言模型（LLM），开发一套具备高可靠性的“法律合同风险智能审查助手”。具体研究目的涵盖以下四个维度：</w:t>
            </w:r>
          </w:p>
          <w:p w14:paraId="0B8717A0">
            <w:pPr>
              <w:ind w:firstLine="360" w:firstLineChars="20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-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构建领域专用知识图谱与动态基座 ： 针对通用大模型在法律专业知识储备上的碎片化问题，本研究旨在整合现行法律法规、行业标准范本、司法解释及高频风险判例，构建一个支持语义索引的结构化知识库，为智能审查提供权威的“事实锚点” 。</w:t>
            </w:r>
          </w:p>
          <w:p w14:paraId="7F8E288C">
            <w:pPr>
              <w:ind w:firstLine="360" w:firstLineChars="20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-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破解大模型在严肃文本领域的“幻觉”困境 ： 法律审查对确定性有近乎苛刻的要求。本研究的目的在于通过 RAG 技术的“先检索、后生成”机制，强制模型在生成审查建议时引用知识库中的确切法条，从根源上抑制模型生成虚假法条或错误逻辑的现象 。</w:t>
            </w:r>
          </w:p>
          <w:p w14:paraId="7C1D6534">
            <w:pPr>
              <w:ind w:firstLine="360" w:firstLineChars="20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-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实现合同风险的全维度自动化识别与量化 ： 突破传统文本比对的局限，利用深度学习模型对合同条款进行语义级解析，旨在精准识别条款缺失、语义歧义、违反强制性规定等风险，并根据风险影响范围建立一套客观的风险分级预警算法（高、中、低风险） 。</w:t>
            </w:r>
          </w:p>
          <w:p w14:paraId="2FFA4561">
            <w:pPr>
              <w:ind w:firstLine="360" w:firstLineChars="20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-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探索人机协作的法律审查新范式 ： 通过开发直观的可视化审查界面，研究如何将 AI 的高效计算能力与法务人员的逻辑判断能力有机结合，验证在 RAG 辅助下，单份合同的初步审查效率提升至人工模式 10 倍以上的可行性 。</w:t>
            </w:r>
          </w:p>
          <w:p w14:paraId="4C270D25">
            <w:pPr>
              <w:ind w:firstLine="360" w:firstLineChars="200"/>
              <w:rPr>
                <w:sz w:val="18"/>
                <w:szCs w:val="18"/>
              </w:rPr>
            </w:pPr>
          </w:p>
          <w:p w14:paraId="040F920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2. 研究意义</w:t>
            </w:r>
          </w:p>
          <w:p w14:paraId="6C19A82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本课题的研究不仅具有显著的技术探索价值，更在法律实务层面具备深远的社会与经济意义：</w:t>
            </w:r>
          </w:p>
          <w:p w14:paraId="0473492E">
            <w:pPr>
              <w:ind w:firstLine="360" w:firstLineChars="20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（1）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学术与技术意义：</w:t>
            </w:r>
          </w:p>
          <w:p w14:paraId="2D3CE031">
            <w:pPr>
              <w:ind w:firstLine="720" w:firstLineChars="40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- 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18"/>
                <w:szCs w:val="18"/>
              </w:rPr>
              <w:t>推动 RAG 技术在垂直长文本领域的应用研究：合同文本通常具有篇幅长、逻辑严密、引用频繁等特点，本研究通过优化针对法律文本的分段、嵌入（Embedding）及重排序（Re-rank）策略，为 RAG 技术处理复杂专业文档提供了宝贵的实验数据与工程方案 。</w:t>
            </w:r>
          </w:p>
          <w:p w14:paraId="4952F4E9">
            <w:pPr>
              <w:ind w:firstLine="720" w:firstLineChars="40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-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完善法律人工智能的评价标准： 本研究提出的关于风险识别准确率（≥90%）与召回率（≥85%）的技术指标，有助于为后续同类产品的研发提供客观、可量化的性能基准 。</w:t>
            </w:r>
          </w:p>
          <w:p w14:paraId="22AD412A">
            <w:pPr>
              <w:ind w:firstLine="360" w:firstLineChars="20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（2）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现实与经济意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义：</w:t>
            </w:r>
          </w:p>
          <w:p w14:paraId="04C84F2E">
            <w:pPr>
              <w:ind w:firstLine="720" w:firstLineChars="40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-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大幅降低企业合规成本：传统合同审查高度依赖高薪法务或外部律师。本系统的应用可承接 80% 以上的基础性、重复性审查工作，使专业人才能够专注于复杂的法律策略制定，显著优化企业法务运营成本 。</w:t>
            </w:r>
          </w:p>
          <w:p w14:paraId="714867CA">
            <w:pPr>
              <w:ind w:firstLine="720" w:firstLineChars="40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-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预防系统性法律风险：通过建立标准化的审查逻辑，可以有效规避因法务人员个体经验差异、疲劳或疏忽导致的漏审风险，为企业构筑起一道基于数据与算法的“合规防火墙” 。</w:t>
            </w:r>
          </w:p>
          <w:p w14:paraId="6C10F257">
            <w:pPr>
              <w:ind w:firstLine="720" w:firstLineChars="4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-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促进法律服务的普惠化：广大小微企业往往缺乏专业法务支持。本研究成果若实现工程化落地，将为社会提供低门槛、专业级的合同审查工具，对维护市场交易公平、减少经济纠纷具有重要的社会公益价值 。</w:t>
            </w:r>
          </w:p>
          <w:p w14:paraId="111E139B">
            <w:pPr>
              <w:rPr>
                <w:rFonts w:hint="eastAsia" w:ascii="宋体" w:hAnsi="宋体" w:cs="宋体"/>
              </w:rPr>
            </w:pPr>
          </w:p>
          <w:p w14:paraId="73819A3A">
            <w:pPr>
              <w:ind w:firstLine="420" w:firstLineChars="200"/>
              <w:rPr>
                <w:rFonts w:hint="eastAsia" w:ascii="宋体" w:hAnsi="宋体" w:cs="宋体"/>
              </w:rPr>
            </w:pPr>
          </w:p>
        </w:tc>
      </w:tr>
      <w:tr w14:paraId="030CA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1" w:hRule="atLeast"/>
          <w:jc w:val="center"/>
        </w:trPr>
        <w:tc>
          <w:tcPr>
            <w:tcW w:w="8926" w:type="dxa"/>
            <w:gridSpan w:val="6"/>
            <w:noWrap w:val="0"/>
            <w:vAlign w:val="top"/>
          </w:tcPr>
          <w:p w14:paraId="6B35BCAF">
            <w:pPr>
              <w:rPr>
                <w:b/>
                <w:bCs/>
              </w:rPr>
            </w:pPr>
            <w:r>
              <w:rPr>
                <w:b/>
                <w:bCs/>
              </w:rPr>
              <w:t>三、 研究内容与预期成果</w:t>
            </w:r>
          </w:p>
          <w:p w14:paraId="19C4AAB3">
            <w:pPr>
              <w:ind w:firstLine="360" w:firstLineChars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本研究将从需求分析、知识库构建、算法设计到系统实现四个维度展开。首先，我们将深度剖析法律合同的文本结构与常见风险类型，明确系统在功能与性能上的核心需求 。在知识库构建方面，重点在于处理结构化与非结构化的法律数据，并设计一套动态更新机制，确保审查依据能够随法律法规的修订而实时更迭 。</w:t>
            </w:r>
          </w:p>
          <w:p w14:paraId="539262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研究的核心在于 RAG 与大模型的协同审查框架设计。我们将构建从“合同预处理、关键信息抽取、知识库精准检索”到“大模型生成审查报告”的完整流水线 。为了确保风险识别的深度，本课题将设计专门的合规性检测规则与分级预警算法，将识别出的风险点划分为高、中、低三个等级，并给出相应的修改建议 。</w:t>
            </w:r>
          </w:p>
          <w:p w14:paraId="326A4C0A">
            <w:pPr>
              <w:ind w:firstLine="360" w:firstLineChars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预期成果将包括：</w:t>
            </w:r>
          </w:p>
          <w:p w14:paraId="3F4B0147">
            <w:pPr>
              <w:ind w:firstLine="360" w:firstLineChars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对比实验报告：量化分析 RAG 增强方案与纯大模型方案在审查耗时、准确率（预期 ≥ 90%）及召回率（预期 ≥ 85%）上的差异 。</w:t>
            </w:r>
          </w:p>
          <w:p w14:paraId="502D4DA0">
            <w:pPr>
              <w:ind w:firstLine="360" w:firstLineChars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技术方案与原型系统：形成一套可落地的法律合同审查架构，并开发出支持多种格式上传、30 秒内生成报告的可视化智能系统 。</w:t>
            </w:r>
          </w:p>
          <w:p w14:paraId="3934FE4B">
            <w:pPr>
              <w:ind w:firstLine="360" w:firstLineChars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学术成果：完成一篇逻辑严密、符合郑州大学本科毕业论文规范的高质量论文 。</w:t>
            </w:r>
          </w:p>
          <w:p w14:paraId="2B73F629">
            <w:pPr>
              <w:ind w:firstLine="420" w:firstLineChars="200"/>
              <w:rPr>
                <w:rFonts w:hint="eastAsia" w:ascii="宋体" w:hAnsi="宋体" w:cs="宋体"/>
              </w:rPr>
            </w:pPr>
          </w:p>
        </w:tc>
      </w:tr>
      <w:tr w14:paraId="6AB7D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3" w:hRule="atLeast"/>
          <w:jc w:val="center"/>
        </w:trPr>
        <w:tc>
          <w:tcPr>
            <w:tcW w:w="8926" w:type="dxa"/>
            <w:gridSpan w:val="6"/>
            <w:noWrap w:val="0"/>
            <w:vAlign w:val="top"/>
          </w:tcPr>
          <w:p w14:paraId="04EDB4AA">
            <w:pPr>
              <w:rPr>
                <w:b/>
                <w:bCs/>
              </w:rPr>
            </w:pPr>
            <w:r>
              <w:rPr>
                <w:b/>
                <w:bCs/>
              </w:rPr>
              <w:t>四、 进度安排</w:t>
            </w:r>
          </w:p>
          <w:p w14:paraId="38F9A10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本研究计划于 2026 年上半年分阶段完成 ：</w:t>
            </w:r>
          </w:p>
          <w:p w14:paraId="5A97611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启动阶段（2026.01.15 - 2026.02.28）：完成文献调研，明确技术路径，撰写并提交开题报告 。</w:t>
            </w:r>
          </w:p>
          <w:p w14:paraId="75AA4F0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开发准备阶段（2026.03.01 - 2026.03.31）：收集法律数据，构建基础向量知识库，完成合同解析模块开发 。</w:t>
            </w:r>
          </w:p>
          <w:p w14:paraId="396625D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核心攻关阶段（2026.04.01 - 2026.04.30）：设计并实现 RAG 检索策略与风险评估算法，进行模型联调与提示词优化 。</w:t>
            </w:r>
          </w:p>
          <w:p w14:paraId="76F5024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集成测试阶段（2026.05.01 - 2026.05.20）：完成可视化界面开发，开展对比实验，收集法律从业者反馈并进行迭代 。</w:t>
            </w:r>
          </w:p>
          <w:p w14:paraId="70CB7A45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总结撰写阶段（2026.05.21 - 2026.0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5.29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）：整理实验数据，完成毕业论文初稿及定稿，准备最终答辩 。</w:t>
            </w:r>
          </w:p>
        </w:tc>
      </w:tr>
      <w:tr w14:paraId="6EC4D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7" w:hRule="atLeast"/>
          <w:jc w:val="center"/>
        </w:trPr>
        <w:tc>
          <w:tcPr>
            <w:tcW w:w="8926" w:type="dxa"/>
            <w:gridSpan w:val="6"/>
            <w:noWrap w:val="0"/>
            <w:vAlign w:val="top"/>
          </w:tcPr>
          <w:p w14:paraId="42015ABA">
            <w:pPr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lang w:val="en-US" w:eastAsia="zh-CN"/>
              </w:rPr>
              <w:t>五</w:t>
            </w:r>
            <w:r>
              <w:rPr>
                <w:rFonts w:hint="eastAsia" w:ascii="宋体" w:hAnsi="宋体" w:cs="宋体"/>
                <w:b/>
                <w:bCs/>
              </w:rPr>
              <w:t>、主要参考文献</w:t>
            </w:r>
          </w:p>
          <w:p w14:paraId="17A2EF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 w:eastAsia="zh-CN"/>
              </w:rPr>
              <w:t>[1]</w:t>
            </w:r>
            <w:r>
              <w:rPr>
                <w:sz w:val="18"/>
                <w:szCs w:val="18"/>
              </w:rPr>
              <w:t>程平，王骥菱，黄靖川，林述莲. RAG 与 DeepSeek 融合的企业信息智能核查研究 [J]. 中国注册会计师，2025 (09): 15-21.</w:t>
            </w:r>
          </w:p>
          <w:p w14:paraId="561D2CC8">
            <w:pPr>
              <w:rPr>
                <w:sz w:val="18"/>
                <w:szCs w:val="18"/>
                <w:lang w:val="en-US" w:eastAsia="zh-CN"/>
              </w:rPr>
            </w:pPr>
            <w:r>
              <w:rPr>
                <w:sz w:val="18"/>
                <w:szCs w:val="18"/>
                <w:lang w:val="en-US" w:eastAsia="zh-CN"/>
              </w:rPr>
              <w:t>[2] 卓柔丽，万振龙，马超凡. RAG 及 AI 编码技术在海关知识库平台中的应用与优化 [J]. 中国口岸科学技术，2026 (01): 78-85.</w:t>
            </w:r>
          </w:p>
          <w:p w14:paraId="58435321">
            <w:pPr>
              <w:rPr>
                <w:sz w:val="18"/>
                <w:szCs w:val="18"/>
                <w:lang w:val="en-US" w:eastAsia="zh-CN"/>
              </w:rPr>
            </w:pPr>
            <w:r>
              <w:rPr>
                <w:sz w:val="18"/>
                <w:szCs w:val="18"/>
                <w:lang w:val="en-US" w:eastAsia="zh-CN"/>
              </w:rPr>
              <w:t xml:space="preserve">[3] </w:t>
            </w:r>
            <w:r>
              <w:rPr>
                <w:sz w:val="18"/>
                <w:szCs w:val="18"/>
              </w:rPr>
              <w:t>刘杰。基于开放领域 LLM 及改进 RAG 的企业智能问答系统方案 [J/OL]. 计算机应用，2026, 46 (2): 1-8.</w:t>
            </w:r>
          </w:p>
          <w:p w14:paraId="716719E0">
            <w:pPr>
              <w:rPr>
                <w:sz w:val="18"/>
                <w:szCs w:val="18"/>
                <w:lang w:val="en-US" w:eastAsia="zh-CN"/>
              </w:rPr>
            </w:pPr>
            <w:r>
              <w:rPr>
                <w:sz w:val="18"/>
                <w:szCs w:val="18"/>
                <w:lang w:val="en-US" w:eastAsia="zh-CN"/>
              </w:rPr>
              <w:t>[4] 中华人民共和国民法典 [M]. 北京：中国法制出版社，2020.</w:t>
            </w:r>
          </w:p>
          <w:p w14:paraId="6A4B4C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 w:eastAsia="zh-CN"/>
              </w:rPr>
              <w:t xml:space="preserve">[5] </w:t>
            </w:r>
            <w:r>
              <w:rPr>
                <w:sz w:val="18"/>
                <w:szCs w:val="18"/>
              </w:rPr>
              <w:t>牟大恩，宋娜，孙丽，外君。融合大模型与 RAG 技术：证券智能运维助手的应用研究 [J/OL]. 电信科学，2026, 42 (1): 45-53.</w:t>
            </w:r>
          </w:p>
          <w:p w14:paraId="13EF3B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 w:eastAsia="zh-CN"/>
              </w:rPr>
              <w:t>[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6</w:t>
            </w:r>
            <w:r>
              <w:rPr>
                <w:sz w:val="18"/>
                <w:szCs w:val="18"/>
                <w:lang w:val="en-US" w:eastAsia="zh-CN"/>
              </w:rPr>
              <w:t>]</w:t>
            </w:r>
            <w:r>
              <w:rPr>
                <w:sz w:val="18"/>
                <w:szCs w:val="18"/>
              </w:rPr>
              <w:t>中华人民共和国宪法 [M]. 北京：法律出版社，2018.</w:t>
            </w:r>
          </w:p>
          <w:p w14:paraId="712AF195">
            <w:pPr>
              <w:rPr>
                <w:rFonts w:hint="eastAsia"/>
                <w:sz w:val="18"/>
                <w:szCs w:val="18"/>
              </w:rPr>
            </w:pPr>
          </w:p>
        </w:tc>
      </w:tr>
      <w:tr w14:paraId="53AD7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7" w:hRule="atLeast"/>
          <w:jc w:val="center"/>
        </w:trPr>
        <w:tc>
          <w:tcPr>
            <w:tcW w:w="8926" w:type="dxa"/>
            <w:gridSpan w:val="6"/>
            <w:noWrap w:val="0"/>
            <w:vAlign w:val="top"/>
          </w:tcPr>
          <w:p w14:paraId="43A7E14F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b/>
              </w:rPr>
              <w:t>五、指导教师审批意见</w:t>
            </w:r>
          </w:p>
          <w:p w14:paraId="4078F115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　　</w:t>
            </w:r>
          </w:p>
          <w:p w14:paraId="4A40E003">
            <w:pPr>
              <w:rPr>
                <w:rFonts w:hint="eastAsia" w:ascii="宋体" w:hAnsi="宋体" w:cs="宋体"/>
              </w:rPr>
            </w:pPr>
          </w:p>
          <w:p w14:paraId="6C719279">
            <w:pPr>
              <w:rPr>
                <w:rFonts w:hint="eastAsia" w:ascii="宋体" w:hAnsi="宋体" w:cs="宋体"/>
              </w:rPr>
            </w:pPr>
          </w:p>
          <w:p w14:paraId="352C1F58">
            <w:pPr>
              <w:rPr>
                <w:rFonts w:hint="eastAsia" w:ascii="宋体" w:hAnsi="宋体" w:cs="宋体"/>
              </w:rPr>
            </w:pPr>
          </w:p>
          <w:p w14:paraId="593C8393">
            <w:pPr>
              <w:wordWrap w:val="0"/>
              <w:ind w:firstLine="3990" w:firstLineChars="1900"/>
              <w:jc w:val="righ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 xml:space="preserve">签字：                  年    月    日    </w:t>
            </w:r>
          </w:p>
        </w:tc>
      </w:tr>
    </w:tbl>
    <w:p w14:paraId="53138B1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2506CA"/>
    <w:rsid w:val="131D659F"/>
    <w:rsid w:val="17C4348D"/>
    <w:rsid w:val="196565AA"/>
    <w:rsid w:val="1CC46C00"/>
    <w:rsid w:val="21C20980"/>
    <w:rsid w:val="26B26BA7"/>
    <w:rsid w:val="28DB2DBB"/>
    <w:rsid w:val="3C7324DC"/>
    <w:rsid w:val="456E3C8E"/>
    <w:rsid w:val="46380A1F"/>
    <w:rsid w:val="4AC00FE3"/>
    <w:rsid w:val="56424FA2"/>
    <w:rsid w:val="56D12829"/>
    <w:rsid w:val="5B841BB9"/>
    <w:rsid w:val="5B870CE6"/>
    <w:rsid w:val="5D820B96"/>
    <w:rsid w:val="628C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2883</Words>
  <Characters>3159</Characters>
  <Lines>0</Lines>
  <Paragraphs>0</Paragraphs>
  <TotalTime>19</TotalTime>
  <ScaleCrop>false</ScaleCrop>
  <LinksUpToDate>false</LinksUpToDate>
  <CharactersWithSpaces>3385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2026-01-26T06:08:00Z</dcterms:created>
  <dc:creator>asus</dc:creator>
  <cp:lastModifiedBy>王国庆</cp:lastModifiedBy>
  <dcterms:modified xsi:type="dcterms:W3CDTF">2026-03-04T01:39:52Z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eyJoZGlkIjoiZmE5ZDFhNWE3YjY1MGRlN2JjMWI5OTNmN2FlYzVmNDAiLCJ1c2VySWQiOiI5MTEzODc2NzYifQ==</vt:lpwstr>
  </property>
  <property fmtid="{D5CDD505-2E9C-101B-9397-08002B2CF9AE}" pid="4" name="ICV">
    <vt:lpwstr>7633D5C09B014E4093647DCDFADA8F73_12</vt:lpwstr>
  </property>
</Properties>
</file>