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40"/>
        <w:jc w:val="center"/>
      </w:pPr>
      <w:r>
        <w:rPr>
          <w:rFonts w:ascii="Arial" w:cs="Arial" w:eastAsia="Arial" w:hAnsi="Arial"/>
          <w:b/>
          <w:bCs/>
          <w:color w:val="1A3A6B"/>
          <w:sz w:val="52"/>
          <w:szCs w:val="52"/>
        </w:rPr>
        <w:t xml:space="preserve">Project Evolution Analysis</w:t>
      </w:r>
    </w:p>
    <w:p>
      <w:pPr>
        <w:spacing w:after="160"/>
        <w:jc w:val="center"/>
      </w:pPr>
      <w:r>
        <w:rPr>
          <w:rFonts w:ascii="Arial" w:cs="Arial" w:eastAsia="Arial" w:hAnsi="Arial"/>
          <w:i/>
          <w:iCs/>
          <w:color w:val="2E4E8A"/>
          <w:sz w:val="30"/>
          <w:szCs w:val="30"/>
        </w:rPr>
        <w:t xml:space="preserve">Adaptive Control of Virtual Synchronous Generators</w:t>
      </w:r>
    </w:p>
    <w:p>
      <w:pPr>
        <w:spacing w:after="160"/>
        <w:jc w:val="center"/>
      </w:pPr>
      <w:r>
        <w:rPr>
          <w:rFonts w:ascii="Arial" w:cs="Arial" w:eastAsia="Arial" w:hAnsi="Arial"/>
          <w:i/>
          <w:iCs/>
          <w:color w:val="2E4E8A"/>
          <w:sz w:val="30"/>
          <w:szCs w:val="30"/>
        </w:rPr>
        <w:t xml:space="preserve">Based on Reinforcement Learning</w:t>
      </w:r>
    </w:p>
    <w:p>
      <w:r>
        <w:t xml:space="preserve"/>
      </w:r>
    </w:p>
    <w:p>
      <w:pPr>
        <w:spacing w:after="80"/>
        <w:jc w:val="center"/>
      </w:pPr>
      <w:r>
        <w:rPr>
          <w:color w:val="555555"/>
          <w:sz w:val="22"/>
          <w:szCs w:val="22"/>
        </w:rPr>
        <w:t xml:space="preserve">Student: Yuang Wei (20411590)  |  Supervisor: John Xu</w:t>
      </w:r>
    </w:p>
    <w:p>
      <w:pPr>
        <w:spacing w:after="80"/>
        <w:jc w:val="center"/>
      </w:pPr>
      <w:r>
        <w:rPr>
          <w:color w:val="555555"/>
          <w:sz w:val="22"/>
          <w:szCs w:val="22"/>
        </w:rPr>
        <w:t xml:space="preserve">UNNC Final Year Project  |  March 2026</w:t>
      </w:r>
    </w:p>
    <w:p>
      <w:r>
        <w:t xml:space="preserve"/>
      </w:r>
    </w:p>
    <w:p>
      <w:pPr>
        <w:jc w:val="center"/>
      </w:pPr>
      <w:r>
        <w:rPr>
          <w:i/>
          <w:iCs/>
          <w:color w:val="888888"/>
          <w:sz w:val="18"/>
          <w:szCs w:val="18"/>
        </w:rPr>
        <w:t xml:space="preserve">Generated by AI-assisted pattern analysis across 14 MATLAB scripts + simulation report</w:t>
      </w:r>
    </w:p>
    <w:p>
      <w:r>
        <w:br w:type="page"/>
      </w:r>
    </w:p>
    <w:p>
      <w:pPr>
        <w:pStyle w:val="Heading1"/>
      </w:pPr>
      <w:r>
        <w:t xml:space="preserve">Overview</w:t>
      </w:r>
    </w:p>
    <w:p>
      <w:pPr>
        <w:spacing w:after="120"/>
      </w:pPr>
      <w:r>
        <w:t xml:space="preserve">This document traces the intellectual and technical evolution of your VSG reinforcement learning project from its earliest prototype through to the final paper-ready validation framework. Five clear patterns emerge from cross-reading all 14 MATLAB scripts alongside the simulation report. Each pattern is supported by specific, citable evidence from the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rPr>
          <w:tblHeader/>
        </w:trPr>
        <w:tc>
          <w:tcPr>
            <w:tcW w:type="dxa" w:w="30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Pattern</w:t>
            </w:r>
          </w:p>
        </w:tc>
        <w:tc>
          <w:tcPr>
            <w:tcW w:type="dxa" w:w="356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Summary</w:t>
            </w:r>
          </w:p>
        </w:tc>
        <w:tc>
          <w:tcPr>
            <w:tcW w:type="dxa" w:w="28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Files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1 — Expanding Action &amp; State Space</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J-only → J+D; 4D → 5D → 8D observations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setup_vsg_rl.m → START_TRAINING.m → START_TRAINING_TD3.m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 — DDPG to TD3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Single critic → dual critics, delayed policy updates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setup_vsg_rl.m → START_TRAINING_TD3.m</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3 — Reward Refinement</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Ad-hoc penalty → voltage/power quality → paper-aligned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vsg_step.m → vsg_step_v2.m → vsg_step_td3.m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 — The Ψ Innovation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Sign-of-frequency-gradient variable from paper Sec 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vsg_step_td3.m, START_TRAINING_TD3.m</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5 — Validation Infrastructure</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Baseline sweeps → 5×3 paper-ready comparison table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baseline_comparison.m, final_validation.m</w:t>
            </w:r>
          </w:p>
        </w:tc>
      </w:tr>
    </w:tbl>
    <w:p>
      <w:r>
        <w:t xml:space="preserve"/>
      </w:r>
    </w:p>
    <w:p>
      <w:r>
        <w:br w:type="page"/>
      </w:r>
    </w:p>
    <w:p>
      <w:pPr>
        <w:pStyle w:val="Heading1"/>
      </w:pPr>
      <w:r>
        <w:t xml:space="preserve">Pattern 1 — Progressive Expansion of Action and State Space</w:t>
      </w:r>
    </w:p>
    <w:p>
      <w:pPr>
        <w:spacing w:after="120"/>
      </w:pPr>
      <w:r>
        <w:t xml:space="preserve">The most visible structural change across the codebase is a steady broadening of what the agent perceives and what it can control. This is not arbitrary: each expansion reflects a deeper understanding of what drives VSG performance.</w:t>
      </w:r>
    </w:p>
    <w:p>
      <w:r>
        <w:t xml:space="preserve"/>
      </w:r>
    </w:p>
    <w:p>
      <w:pPr>
        <w:pStyle w:val="Heading2"/>
      </w:pPr>
      <w:r>
        <w:t xml:space="preserve">1.1  Action Space: J-only → Joint J+D Control</w:t>
      </w:r>
    </w:p>
    <w:p>
      <w:pPr>
        <w:spacing w:after="120"/>
      </w:pPr>
      <w:r>
        <w:t xml:space="preserve">In the earliest version (setup_vsg_rl.m), the agent controls only the virtual inertia J while the damping coefficient D is hard-coded to 20:</w:t>
      </w:r>
    </w:p>
    <w:p>
      <w:pPr>
        <w:spacing w:after="80" w:before="80"/>
        <w:ind w:left="720"/>
      </w:pPr>
      <w:r>
        <w:rPr>
          <w:rFonts w:ascii="Courier New" w:cs="Courier New" w:eastAsia="Courier New" w:hAnsi="Courier New"/>
          <w:color w:val="1A6B3C"/>
          <w:sz w:val="18"/>
          <w:szCs w:val="18"/>
        </w:rPr>
        <w:t xml:space="preserve">actInfo = rlNumericSpec([1 1], 'LowerLimit', 0, 'UpperLimit', 1);   % J_normalized only</w:t>
      </w:r>
    </w:p>
    <w:p>
      <w:pPr>
        <w:spacing w:after="120"/>
      </w:pPr>
      <w:r>
        <w:t xml:space="preserve">The middle-phase (vsg_step_v2.m) introduced dual-parameter control for the first time, expanding the action to 2D:</w:t>
      </w:r>
    </w:p>
    <w:p>
      <w:pPr>
        <w:spacing w:after="80" w:before="80"/>
        <w:ind w:left="720"/>
      </w:pPr>
      <w:r>
        <w:rPr>
          <w:rFonts w:ascii="Courier New" w:cs="Courier New" w:eastAsia="Courier New" w:hAnsi="Courier New"/>
          <w:color w:val="1A6B3C"/>
          <w:sz w:val="18"/>
          <w:szCs w:val="18"/>
        </w:rPr>
        <w:t xml:space="preserve">J_norm = max(0,min(1,double(action(1))));  D_norm = max(0,min(1,double(action(2))));</w:t>
      </w:r>
    </w:p>
    <w:p>
      <w:pPr>
        <w:spacing w:after="120"/>
      </w:pPr>
      <w:r>
        <w:t xml:space="preserve">The final TD3 design (START_TRAINING_TD3.m) cemented this as the official architecture, with explicit parameter ranges J ∈ [0.05, 5.0] and D ∈ [5, 100].</w:t>
      </w:r>
    </w:p>
    <w:p>
      <w:pPr>
        <w:spacing w:after="120"/>
      </w:pPr>
      <w:r>
        <w:t xml:space="preserve">Significance: controlling only J while leaving D fixed means the agent cannot address oscillatory damping independently of inertia. The upgrade to joint J+D control mirrors what the literature shows is needed for a complete frequency regulation strategy.</w:t>
      </w:r>
    </w:p>
    <w:p>
      <w:r>
        <w:t xml:space="preserve"/>
      </w:r>
    </w:p>
    <w:p>
      <w:pPr>
        <w:pStyle w:val="Heading2"/>
      </w:pPr>
      <w:r>
        <w:t xml:space="preserve">1.2  Observation Space: 4D → 5D → 8D</w:t>
      </w:r>
    </w:p>
    <w:p>
      <w:pPr>
        <w:spacing w:after="120"/>
      </w:pPr>
      <w:r>
        <w:t xml:space="preserve">The observation vector grew in three identifiable steps, each adding information the agent was previously blind 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800"/>
        <w:gridCol w:w="2860"/>
      </w:tblGrid>
      <w:tr>
        <w:trPr>
          <w:tblHeader/>
        </w:trPr>
        <w:tc>
          <w:tcPr>
            <w:tcW w:type="dxa" w:w="18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Version</w:t>
            </w:r>
          </w:p>
        </w:tc>
        <w:tc>
          <w:tcPr>
            <w:tcW w:type="dxa" w:w="9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Dimension</w:t>
            </w:r>
          </w:p>
        </w:tc>
        <w:tc>
          <w:tcPr>
            <w:tcW w:type="dxa" w:w="38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Observations</w:t>
            </w:r>
          </w:p>
        </w:tc>
        <w:tc>
          <w:tcPr>
            <w:tcW w:type="dxa" w:w="286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What was added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setup_vsg_rl.m</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4D</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[f, Pe, Vamp, J_norm]</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Initial prototype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START_TRAINING.m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 Pe, Vamp, J_norm, load_norm]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Load context (3 levels)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START_TRAINING_TD3.m</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8D</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[Δf/5, dω/dt, Ψ, Pe_norm, Vamp_norm, J_norm, D_norm, load_norm]</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Frequency dynamics + Ψ + D control + normalisation</w:t>
            </w:r>
          </w:p>
        </w:tc>
      </w:tr>
    </w:tbl>
    <w:p>
      <w:r>
        <w:t xml:space="preserve"/>
      </w:r>
    </w:p>
    <w:p>
      <w:pPr>
        <w:spacing w:after="120"/>
      </w:pPr>
      <w:r>
        <w:t xml:space="preserve">The jump to 5D was pragmatic: without load_norm, the same J might produce very different rewards under light vs. heavy load, making the reward signal ambiguous. Adding load context gives the agent the ability to output different J values per load level — this was even declared as a training goal in the code comments: “目标: 不同负载下Agent输出不同J” (Target: agent outputs different J under different loads).</w:t>
      </w:r>
    </w:p>
    <w:p>
      <w:r>
        <w:t xml:space="preserve"/>
      </w:r>
    </w:p>
    <w:p>
      <w:r>
        <w:br w:type="page"/>
      </w:r>
    </w:p>
    <w:p>
      <w:pPr>
        <w:pStyle w:val="Heading1"/>
      </w:pPr>
      <w:r>
        <w:t xml:space="preserve">Pattern 2 — Algorithm Upgrade: DDPG to TD3</w:t>
      </w:r>
    </w:p>
    <w:p>
      <w:pPr>
        <w:spacing w:after="120"/>
      </w:pPr>
      <w:r>
        <w:t xml:space="preserve">The algorithm choice shifted from DDPG (Deep Deterministic Policy Gradient) to TD3 (Twin Delayed Deep Deterministic Policy Gradient). This is a meaningful upgrade, not just a swap.</w:t>
      </w:r>
    </w:p>
    <w:p>
      <w:r>
        <w:t xml:space="preserve"/>
      </w:r>
    </w:p>
    <w:p>
      <w:pPr>
        <w:pStyle w:val="Heading2"/>
      </w:pPr>
      <w:r>
        <w:t xml:space="preserve">2.1  Why TD3?</w:t>
      </w:r>
    </w:p>
    <w:p>
      <w:pPr>
        <w:spacing w:after="120"/>
      </w:pPr>
      <w:r>
        <w:t xml:space="preserve">DDPG is known to suffer from Q-value overestimation: a single critic network tends to produce overly optimistic reward estimates, which corrupts the policy. TD3 addresses this with two key mechanisms: dual critics (take the minimum of two Q estimates) and delayed policy updates (update the actor less frequently than the critics). Both are visible in your code:</w:t>
      </w:r>
    </w:p>
    <w:p>
      <w:pPr>
        <w:spacing w:after="80" w:before="80"/>
        <w:ind w:left="720"/>
      </w:pPr>
      <w:r>
        <w:rPr>
          <w:rFonts w:ascii="Courier New" w:cs="Courier New" w:eastAsia="Courier New" w:hAnsi="Courier New"/>
          <w:color w:val="1A6B3C"/>
          <w:sz w:val="18"/>
          <w:szCs w:val="18"/>
        </w:rPr>
        <w:t xml:space="preserve">agentOpts = rlTD3AgentOptions(..., 'PolicyUpdateFrequency', 2, ...)</w:t>
      </w:r>
    </w:p>
    <w:p>
      <w:pPr>
        <w:spacing w:after="80" w:before="80"/>
        <w:ind w:left="720"/>
      </w:pPr>
      <w:r>
        <w:rPr>
          <w:rFonts w:ascii="Courier New" w:cs="Courier New" w:eastAsia="Courier New" w:hAnsi="Courier New"/>
          <w:color w:val="1A6B3C"/>
          <w:sz w:val="18"/>
          <w:szCs w:val="18"/>
        </w:rPr>
        <w:t xml:space="preserve">critic1 = mkC('ca', obsInfo, actInfo);  critic2 = mkC('cb', obsInfo, actInfo);</w:t>
      </w:r>
    </w:p>
    <w:p>
      <w:r>
        <w:t xml:space="preserve"/>
      </w:r>
    </w:p>
    <w:p>
      <w:pPr>
        <w:pStyle w:val="Heading2"/>
      </w:pPr>
      <w:r>
        <w:t xml:space="preserve">2.2  Network Capacity also Grew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Component</w:t>
            </w:r>
          </w:p>
        </w:tc>
        <w:tc>
          <w:tcPr>
            <w:tcW w:type="dxa" w:w="30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DDPG (setup_vsg_rl.m)</w:t>
            </w:r>
          </w:p>
        </w:tc>
        <w:tc>
          <w:tcPr>
            <w:tcW w:type="dxa" w:w="336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TD3 (START_TRAINING_TD3.m)</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Critic hidden layers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64 → 64 units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128 → 64 units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Actor hidden layers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64 → 64 units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128 → 64 units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Number of critics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1</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2 (dual)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Policy update freq.</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Every step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Every 2 steps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Input dimension</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4 or 5</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Output dimension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 (J)</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 (J, D)</w:t>
            </w:r>
          </w:p>
        </w:tc>
      </w:tr>
    </w:tbl>
    <w:p>
      <w:r>
        <w:t xml:space="preserve"/>
      </w:r>
    </w:p>
    <w:p>
      <w:pPr>
        <w:spacing w:after="120"/>
      </w:pPr>
      <w:r>
        <w:t xml:space="preserve">The larger first hidden layer (128 vs 64) was likely necessary to absorb the richer 8D input, while the second layer remaining at 64 keeps the total parameter count reasonable for a single-episode-per-step training regime.</w:t>
      </w:r>
    </w:p>
    <w:p>
      <w:r>
        <w:t xml:space="preserve"/>
      </w:r>
    </w:p>
    <w:p>
      <w:pPr>
        <w:pStyle w:val="Heading2"/>
      </w:pPr>
      <w:r>
        <w:t xml:space="preserve">2.3  Exploration Strategy Preserved</w:t>
      </w:r>
    </w:p>
    <w:p>
      <w:pPr>
        <w:spacing w:after="120"/>
      </w:pPr>
      <w:r>
        <w:t xml:space="preserve">Despite the algorithm change, the exploration noise strategy was kept consistent: Gaussian noise with standard deviation 0.2 decaying at rate 2e-3. This suggests you were deliberately isolating the algorithm change as the variable, rather than co-varying exploration.</w:t>
      </w:r>
    </w:p>
    <w:p>
      <w:pPr>
        <w:spacing w:after="80" w:before="80"/>
        <w:ind w:left="720"/>
      </w:pPr>
      <w:r>
        <w:rPr>
          <w:rFonts w:ascii="Courier New" w:cs="Courier New" w:eastAsia="Courier New" w:hAnsi="Courier New"/>
          <w:color w:val="1A6B3C"/>
          <w:sz w:val="18"/>
          <w:szCs w:val="18"/>
        </w:rPr>
        <w:t xml:space="preserve">agentOpts.ExplorationModel.StandardDeviation = 0.2;</w:t>
      </w:r>
    </w:p>
    <w:p>
      <w:pPr>
        <w:spacing w:after="80" w:before="80"/>
        <w:ind w:left="720"/>
      </w:pPr>
      <w:r>
        <w:rPr>
          <w:rFonts w:ascii="Courier New" w:cs="Courier New" w:eastAsia="Courier New" w:hAnsi="Courier New"/>
          <w:color w:val="1A6B3C"/>
          <w:sz w:val="18"/>
          <w:szCs w:val="18"/>
        </w:rPr>
        <w:t xml:space="preserve">agentOpts.ExplorationModel.StandardDeviationDecayRate = 2e-3;</w:t>
      </w:r>
    </w:p>
    <w:p>
      <w:r>
        <w:t xml:space="preserve"/>
      </w:r>
    </w:p>
    <w:p>
      <w:r>
        <w:br w:type="page"/>
      </w:r>
    </w:p>
    <w:p>
      <w:pPr>
        <w:pStyle w:val="Heading1"/>
      </w:pPr>
      <w:r>
        <w:t xml:space="preserve">Pattern 3 — Reward Function Maturation</w:t>
      </w:r>
    </w:p>
    <w:p>
      <w:pPr>
        <w:spacing w:after="120"/>
      </w:pPr>
      <w:r>
        <w:t xml:space="preserve">The reward function underwent the most striking intellectual evolution of any part of the project. Three clearly distinct philosophies can be traced across the step function versions.</w:t>
      </w:r>
    </w:p>
    <w:p>
      <w:r>
        <w:t xml:space="preserve"/>
      </w:r>
    </w:p>
    <w:p>
      <w:pPr>
        <w:pStyle w:val="Heading2"/>
      </w:pPr>
      <w:r>
        <w:t xml:space="preserve">Phase 1 — Frequency-Focused Heuristic (vsg_step.m)</w:t>
      </w:r>
    </w:p>
    <w:p>
      <w:pPr>
        <w:spacing w:after="80" w:before="80"/>
        <w:ind w:left="720"/>
      </w:pPr>
      <w:r>
        <w:rPr>
          <w:rFonts w:ascii="Courier New" w:cs="Courier New" w:eastAsia="Courier New" w:hAnsi="Courier New"/>
          <w:color w:val="1A6B3C"/>
          <w:sz w:val="18"/>
          <w:szCs w:val="18"/>
        </w:rPr>
        <w:t xml:space="preserve">reward = -(1000*rocof + 3000*f_dev + 0.5*t_settle) * 10;</w:t>
      </w:r>
    </w:p>
    <w:p>
      <w:pPr>
        <w:spacing w:after="120"/>
      </w:pPr>
      <w:r>
        <w:t xml:space="preserve">This captures the three classic frequency stability metrics: Rate of Change of Frequency (RoCoF), maximum frequency deviation, and settling time. The weighting (3000 for f_dev, 1000 for RoCoF, 0.5 for t_settle) reflects your initial intuition that frequency deviation is the most critical objective. The settle-time term was later dropped, likely because it was difficult to compute reliably when the simulation only runs for 1.5 seconds.</w:t>
      </w:r>
    </w:p>
    <w:p>
      <w:r>
        <w:t xml:space="preserve"/>
      </w:r>
    </w:p>
    <w:p>
      <w:pPr>
        <w:pStyle w:val="Heading2"/>
      </w:pPr>
      <w:r>
        <w:t xml:space="preserve">Phase 2 — Power Quality Pivot (vsg_step_v2.m)</w:t>
      </w:r>
    </w:p>
    <w:p>
      <w:pPr>
        <w:spacing w:after="40" w:before="80"/>
        <w:ind w:left="720"/>
      </w:pPr>
      <w:r>
        <w:rPr>
          <w:rFonts w:ascii="Courier New" w:cs="Courier New" w:eastAsia="Courier New" w:hAnsi="Courier New"/>
          <w:color w:val="1A6B3C"/>
          <w:sz w:val="18"/>
          <w:szCs w:val="18"/>
        </w:rPr>
        <w:t xml:space="preserve">r1 = -(Pe_std_on/1500)^2 * 3.0;   % active power oscillation during disturbance</w:t>
      </w:r>
    </w:p>
    <w:p>
      <w:pPr>
        <w:spacing w:after="40"/>
        <w:ind w:left="720"/>
      </w:pPr>
      <w:r>
        <w:rPr>
          <w:rFonts w:ascii="Courier New" w:cs="Courier New" w:eastAsia="Courier New" w:hAnsi="Courier New"/>
          <w:color w:val="1A6B3C"/>
          <w:sz w:val="18"/>
          <w:szCs w:val="18"/>
        </w:rPr>
        <w:t xml:space="preserve">r2 = -((311-Vamp_min)/311)^2 * 2.0; % voltage dip severity</w:t>
      </w:r>
    </w:p>
    <w:p>
      <w:pPr>
        <w:spacing w:after="40"/>
        <w:ind w:left="720"/>
      </w:pPr>
      <w:r>
        <w:rPr>
          <w:rFonts w:ascii="Courier New" w:cs="Courier New" w:eastAsia="Courier New" w:hAnsi="Courier New"/>
          <w:color w:val="1A6B3C"/>
          <w:sz w:val="18"/>
          <w:szCs w:val="18"/>
        </w:rPr>
        <w:t xml:space="preserve">r3 = -(Pe_osc_off/1000)^2 * 2.0;   % power oscillation after disturbance ends</w:t>
      </w:r>
    </w:p>
    <w:p>
      <w:pPr>
        <w:spacing w:after="80"/>
        <w:ind w:left="720"/>
      </w:pPr>
      <w:r>
        <w:rPr>
          <w:rFonts w:ascii="Courier New" w:cs="Courier New" w:eastAsia="Courier New" w:hAnsi="Courier New"/>
          <w:color w:val="1A6B3C"/>
          <w:sz w:val="18"/>
          <w:szCs w:val="18"/>
        </w:rPr>
        <w:t xml:space="preserve">r4 = -(Pe_overshoot/2000)^2 * 1.0;  % active power overshoot</w:t>
      </w:r>
    </w:p>
    <w:p>
      <w:pPr>
        <w:spacing w:after="120"/>
      </w:pPr>
      <w:r>
        <w:t xml:space="preserve">This was a significant shift: the agent was now being rewarded for managing voltage sag and power quality, not just frequency. Your simulation report had noted that with J=0.5, D=20, “电压晪降更为显著” (voltage drop is more prominent) — so you were responding to what you saw in the data. However, by moving away from explicit frequency metrics, the agent may have drifted from the paper’s stated objective.</w:t>
      </w:r>
    </w:p>
    <w:p>
      <w:r>
        <w:t xml:space="preserve"/>
      </w:r>
    </w:p>
    <w:p>
      <w:pPr>
        <w:pStyle w:val="Heading2"/>
      </w:pPr>
      <w:r>
        <w:t xml:space="preserve">Phase 3 — Paper-Aligned Frequency Integral (vsg_step_td3.m)</w:t>
      </w:r>
    </w:p>
    <w:p>
      <w:pPr>
        <w:spacing w:after="40" w:before="80"/>
        <w:ind w:left="720"/>
      </w:pPr>
      <w:r>
        <w:rPr>
          <w:rFonts w:ascii="Courier New" w:cs="Courier New" w:eastAsia="Courier New" w:hAnsi="Courier New"/>
          <w:color w:val="1A6B3C"/>
          <w:sz w:val="18"/>
          <w:szCs w:val="18"/>
        </w:rPr>
        <w:t xml:space="preserve">f_integ = trapz(t(idx_f), abs(fv(idx_f)-50));  % integral of |Delta-f|</w:t>
      </w:r>
    </w:p>
    <w:p>
      <w:pPr>
        <w:spacing w:after="80"/>
        <w:ind w:left="720"/>
      </w:pPr>
      <w:r>
        <w:rPr>
          <w:rFonts w:ascii="Courier New" w:cs="Courier New" w:eastAsia="Courier New" w:hAnsi="Courier New"/>
          <w:color w:val="1A6B3C"/>
          <w:sz w:val="18"/>
          <w:szCs w:val="18"/>
        </w:rPr>
        <w:t xml:space="preserve">reward = -(3000*f_dev + 1000*rocof + 500*f_integ) * 10;  % 对标论文三项惩罚</w:t>
      </w:r>
    </w:p>
    <w:p>
      <w:pPr>
        <w:spacing w:after="120"/>
      </w:pPr>
      <w:r>
        <w:t xml:space="preserve">The comment “对标论文三项惩罚” (matching the paper’s three penalty terms) is the key evidence here. Phase 3 represents a deliberate course correction: you returned to frequency-focused metrics, replaced the unreliable settle-time term with a frequency integral (which is more numerically stable and captures both magnitude and duration of frequency deviation), and explicitly aligned the reward with the reference paper’s formulation.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060"/>
        <w:gridCol w:w="1700"/>
      </w:tblGrid>
      <w:tr>
        <w:trPr>
          <w:tblHeader/>
        </w:trPr>
        <w:tc>
          <w:tcPr>
            <w:tcW w:type="dxa" w:w="18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Phase</w:t>
            </w:r>
          </w:p>
        </w:tc>
        <w:tc>
          <w:tcPr>
            <w:tcW w:type="dxa" w:w="28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File</w:t>
            </w:r>
          </w:p>
        </w:tc>
        <w:tc>
          <w:tcPr>
            <w:tcW w:type="dxa" w:w="306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Metrics Used</w:t>
            </w:r>
          </w:p>
        </w:tc>
        <w:tc>
          <w:tcPr>
            <w:tcW w:type="dxa" w:w="17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Key Change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1 — Heuristic</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vsg_step.m</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RoCoF, Δf_max, t_settle</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Initial attempt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 — Power Quality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vsg_step_v2.m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Pe_std, V_dip, Pe_osc, overshoot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Responding to voltage data</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3 — Paper-Aligned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vsg_step_td3.m</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RoCoF, Δf_max, ∫|Δf|dt</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Explicit paper alignment</w:t>
            </w:r>
          </w:p>
        </w:tc>
      </w:tr>
    </w:tbl>
    <w:p>
      <w:r>
        <w:t xml:space="preserve"/>
      </w:r>
    </w:p>
    <w:p>
      <w:r>
        <w:br w:type="page"/>
      </w:r>
    </w:p>
    <w:p>
      <w:pPr>
        <w:pStyle w:val="Heading1"/>
      </w:pPr>
      <w:r>
        <w:t xml:space="preserve">Pattern 4 — The Ψ Variable: Your Core Innovation</w:t>
      </w:r>
    </w:p>
    <w:p>
      <w:pPr>
        <w:spacing w:after="120"/>
      </w:pPr>
      <w:r>
        <w:t xml:space="preserve">The introduction of the Ψ (Psi) variable is the single most distinctive intellectual contribution in your codebase. It is cited as coming from “论文 3.2节” (the reference paper, Section 3.2) and represents a carefully designed state feature.</w:t>
      </w:r>
    </w:p>
    <w:p>
      <w:r>
        <w:t xml:space="preserve"/>
      </w:r>
    </w:p>
    <w:p>
      <w:pPr>
        <w:pStyle w:val="Heading2"/>
      </w:pPr>
      <w:r>
        <w:t xml:space="preserve">4.1  What Ψ Does</w:t>
      </w:r>
    </w:p>
    <w:p>
      <w:pPr>
        <w:spacing w:after="80" w:before="80"/>
        <w:ind w:left="720"/>
      </w:pPr>
      <w:r>
        <w:rPr>
          <w:rFonts w:ascii="Courier New" w:cs="Courier New" w:eastAsia="Courier New" w:hAnsi="Courier New"/>
          <w:color w:val="1A6B3C"/>
          <w:sz w:val="18"/>
          <w:szCs w:val="18"/>
        </w:rPr>
        <w:t xml:space="preserve">Ψ = sign(Δf × dω/dt)</w:t>
      </w:r>
    </w:p>
    <w:p>
      <w:pPr>
        <w:spacing w:after="120"/>
      </w:pPr>
      <w:r>
        <w:t xml:space="preserve">The sign of the product of frequency deviation and its rate of change encodes the direction of frequency trajectory:</w:t>
      </w:r>
    </w:p>
    <w:p>
      <w:pPr>
        <w:pStyle w:val="ListParagraph"/>
        <w:numPr>
          <w:ilvl w:val="0"/>
          <w:numId w:val="2"/>
        </w:numPr>
        <w:spacing w:after="80"/>
      </w:pPr>
      <w:r>
        <w:t xml:space="preserve">Ψ = +1: frequency is deviating away from nominal (e.g., already below 50 Hz and still falling) — the disturbance is worsening</w:t>
      </w:r>
    </w:p>
    <w:p>
      <w:pPr>
        <w:pStyle w:val="ListParagraph"/>
        <w:numPr>
          <w:ilvl w:val="0"/>
          <w:numId w:val="2"/>
        </w:numPr>
        <w:spacing w:after="80"/>
      </w:pPr>
      <w:r>
        <w:t xml:space="preserve">Ψ = −1: frequency is returning toward nominal (e.g., below 50 Hz but rising back) — the disturbance is recovering</w:t>
      </w:r>
    </w:p>
    <w:p>
      <w:pPr>
        <w:pStyle w:val="ListParagraph"/>
        <w:numPr>
          <w:ilvl w:val="0"/>
          <w:numId w:val="2"/>
        </w:numPr>
        <w:spacing w:after="80"/>
      </w:pPr>
      <w:r>
        <w:t xml:space="preserve">Ψ = 0: frequency is at nominal (steady state)</w:t>
      </w:r>
    </w:p>
    <w:p>
      <w:r>
        <w:t xml:space="preserve"/>
      </w:r>
    </w:p>
    <w:p>
      <w:pPr>
        <w:spacing w:after="120"/>
      </w:pPr>
      <w:r>
        <w:t xml:space="preserve">Without Ψ, the agent can only see the current frequency value and its rate — it cannot tell whether the situation is improving or deteriorating. With Ψ, the agent gains directional awareness that allows it to respond proactively rather than reactively.</w:t>
      </w:r>
    </w:p>
    <w:p>
      <w:r>
        <w:t xml:space="preserve"/>
      </w:r>
    </w:p>
    <w:p>
      <w:pPr>
        <w:pStyle w:val="Heading2"/>
      </w:pPr>
      <w:r>
        <w:t xml:space="preserve">4.2  Implementation in Code</w:t>
      </w:r>
    </w:p>
    <w:p>
      <w:pPr>
        <w:spacing w:after="40" w:before="80"/>
        <w:ind w:left="720"/>
      </w:pPr>
      <w:r>
        <w:rPr>
          <w:rFonts w:ascii="Courier New" w:cs="Courier New" w:eastAsia="Courier New" w:hAnsi="Courier New"/>
          <w:color w:val="1A6B3C"/>
          <w:sz w:val="18"/>
          <w:szCs w:val="18"/>
        </w:rPr>
        <w:t xml:space="preserve">delta_f_fin = f_fin - 50;</w:t>
      </w:r>
    </w:p>
    <w:p>
      <w:pPr>
        <w:spacing w:after="40"/>
        <w:ind w:left="720"/>
      </w:pPr>
      <w:r>
        <w:rPr>
          <w:rFonts w:ascii="Courier New" w:cs="Courier New" w:eastAsia="Courier New" w:hAnsi="Courier New"/>
          <w:color w:val="1A6B3C"/>
          <w:sz w:val="18"/>
          <w:szCs w:val="18"/>
        </w:rPr>
        <w:t xml:space="preserve">n = length(fv);</w:t>
      </w:r>
    </w:p>
    <w:p>
      <w:pPr>
        <w:spacing w:after="40"/>
        <w:ind w:left="720"/>
      </w:pPr>
      <w:r>
        <w:rPr>
          <w:rFonts w:ascii="Courier New" w:cs="Courier New" w:eastAsia="Courier New" w:hAnsi="Courier New"/>
          <w:color w:val="1A6B3C"/>
          <w:sz w:val="18"/>
          <w:szCs w:val="18"/>
        </w:rPr>
        <w:t xml:space="preserve">dwdt_fin = (fv(n) - fv(max(1,n-100))) / (t(n) - t(max(1,n-100)) + 1e-9);</w:t>
      </w:r>
    </w:p>
    <w:p>
      <w:pPr>
        <w:spacing w:after="80"/>
        <w:ind w:left="720"/>
      </w:pPr>
      <w:r>
        <w:rPr>
          <w:rFonts w:ascii="Courier New" w:cs="Courier New" w:eastAsia="Courier New" w:hAnsi="Courier New"/>
          <w:color w:val="1A6B3C"/>
          <w:sz w:val="18"/>
          <w:szCs w:val="18"/>
        </w:rPr>
        <w:t xml:space="preserve">Psi_fin = sign(delta_f_fin * dwdt_fin);  % 来自论文改进版状态空间</w:t>
      </w:r>
    </w:p>
    <w:p>
      <w:pPr>
        <w:spacing w:after="120"/>
      </w:pPr>
      <w:r>
        <w:t xml:space="preserve">The 100-sample look-back window for df/dt is a practical choice: it avoids noise from a single timestep difference while still capturing recent dynamics within a 1.5-second simulation.</w:t>
      </w:r>
    </w:p>
    <w:p>
      <w:r>
        <w:t xml:space="preserve"/>
      </w:r>
    </w:p>
    <w:p>
      <w:pPr>
        <w:pStyle w:val="Heading2"/>
      </w:pPr>
      <w:r>
        <w:t xml:space="preserve">4.3  How Ψ Changed the State Space</w:t>
      </w:r>
    </w:p>
    <w:p>
      <w:pPr>
        <w:spacing w:after="120"/>
      </w:pPr>
      <w:r>
        <w:t xml:space="preserve">The full 8D state vector in vsg_step_td3.m is:</w:t>
      </w:r>
    </w:p>
    <w:p>
      <w:pPr>
        <w:spacing w:after="80" w:before="80"/>
        <w:ind w:left="720"/>
      </w:pPr>
      <w:r>
        <w:rPr>
          <w:rFonts w:ascii="Courier New" w:cs="Courier New" w:eastAsia="Courier New" w:hAnsi="Courier New"/>
          <w:color w:val="1A6B3C"/>
          <w:sz w:val="18"/>
          <w:szCs w:val="18"/>
        </w:rPr>
        <w:t xml:space="preserve">observation = [Δf/5;  dω/dt/10;  Ψ;  Pe/20000-0.5;  Vamp/400;  J_norm;  D_norm;  load_norm]</w:t>
      </w:r>
    </w:p>
    <w:p>
      <w:pPr>
        <w:spacing w:after="120"/>
      </w:pPr>
      <w:r>
        <w:t xml:space="preserve">Ψ occupies position 3 (after normalised frequency deviation and normalised rate of change), immediately before the power and voltage signals. This ordering groups the three frequency-related signals (Δf, dω/dt, Ψ) at the front, which may help the neural network learn frequency-regulation sub-patterns more easily.</w:t>
      </w:r>
    </w:p>
    <w:p>
      <w:r>
        <w:t xml:space="preserve"/>
      </w:r>
    </w:p>
    <w:p>
      <w:r>
        <w:br w:type="page"/>
      </w:r>
    </w:p>
    <w:p>
      <w:pPr>
        <w:pStyle w:val="Heading1"/>
      </w:pPr>
      <w:r>
        <w:t xml:space="preserve">Pattern 5 — From Exploration to Validation Infrastructure</w:t>
      </w:r>
    </w:p>
    <w:p>
      <w:pPr>
        <w:spacing w:after="120"/>
      </w:pPr>
      <w:r>
        <w:t xml:space="preserve">The project shows a clear maturation from ad-hoc experimentation to structured, paper-ready evaluation. Two dedicated scripts bracket this transition.</w:t>
      </w:r>
    </w:p>
    <w:p>
      <w:r>
        <w:t xml:space="preserve"/>
      </w:r>
    </w:p>
    <w:p>
      <w:pPr>
        <w:pStyle w:val="Heading2"/>
      </w:pPr>
      <w:r>
        <w:t xml:space="preserve">5.1  Baseline Sweep (baseline_comparison.m)</w:t>
      </w:r>
    </w:p>
    <w:p>
      <w:pPr>
        <w:spacing w:after="120"/>
      </w:pPr>
      <w:r>
        <w:t xml:space="preserve">This script runs five fixed-J simulations (J = 0.1, 0.5, 1.0, 2.0, 5.0) with D held constant at 20, recording four metrics per run:</w:t>
      </w:r>
    </w:p>
    <w:p>
      <w:pPr>
        <w:pStyle w:val="ListParagraph"/>
        <w:numPr>
          <w:ilvl w:val="0"/>
          <w:numId w:val="2"/>
        </w:numPr>
        <w:spacing w:after="80"/>
      </w:pPr>
      <w:r>
        <w:t xml:space="preserve">Frequency drop (Δf in Hz)</w:t>
      </w:r>
    </w:p>
    <w:p>
      <w:pPr>
        <w:pStyle w:val="ListParagraph"/>
        <w:numPr>
          <w:ilvl w:val="0"/>
          <w:numId w:val="2"/>
        </w:numPr>
        <w:spacing w:after="80"/>
      </w:pPr>
      <w:r>
        <w:t xml:space="preserve">RoCoF (Hz/s)</w:t>
      </w:r>
    </w:p>
    <w:p>
      <w:pPr>
        <w:pStyle w:val="ListParagraph"/>
        <w:numPr>
          <w:ilvl w:val="0"/>
          <w:numId w:val="2"/>
        </w:numPr>
        <w:spacing w:after="80"/>
      </w:pPr>
      <w:r>
        <w:t xml:space="preserve">Minimum voltage amplitude (V)</w:t>
      </w:r>
    </w:p>
    <w:p>
      <w:pPr>
        <w:pStyle w:val="ListParagraph"/>
        <w:numPr>
          <w:ilvl w:val="0"/>
          <w:numId w:val="2"/>
        </w:numPr>
        <w:spacing w:after="80"/>
      </w:pPr>
      <w:r>
        <w:t xml:space="preserve">Settling time (s)</w:t>
      </w:r>
    </w:p>
    <w:p>
      <w:r>
        <w:t xml:space="preserve"/>
      </w:r>
    </w:p>
    <w:p>
      <w:pPr>
        <w:spacing w:after="120"/>
      </w:pPr>
      <w:r>
        <w:t xml:space="preserve">The output comment “These are your paper baseline results (Table &amp; Fig)” confirms this was written specifically for the paper’s comparison table. It also generates two saved figures (fig1_freq.png, fig2_metrics.png) ready for inclusion in the report.</w:t>
      </w:r>
    </w:p>
    <w:p>
      <w:r>
        <w:t xml:space="preserve"/>
      </w:r>
    </w:p>
    <w:p>
      <w:pPr>
        <w:pStyle w:val="Heading2"/>
      </w:pPr>
      <w:r>
        <w:t xml:space="preserve">5.2  Final Validation (final_validation.m)</w:t>
      </w:r>
    </w:p>
    <w:p>
      <w:pPr>
        <w:spacing w:after="120"/>
      </w:pPr>
      <w:r>
        <w:t xml:space="preserve">The final validation framework compares five methods across three load scenarios — 15 simulation runs in total: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Method</w:t>
            </w:r>
          </w:p>
        </w:tc>
        <w:tc>
          <w:tcPr>
            <w:tcW w:type="dxa" w:w="12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J</w:t>
            </w:r>
          </w:p>
        </w:tc>
        <w:tc>
          <w:tcPr>
            <w:tcW w:type="dxa" w:w="12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D</w:t>
            </w:r>
          </w:p>
        </w:tc>
        <w:tc>
          <w:tcPr>
            <w:tcW w:type="dxa" w:w="416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Fixed J=0.5 (Default)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0.5</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20</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Standard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Fixed J=5.0 (Best static)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Best single-J from baseline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TD3+Ψ (Proposed)</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Agent decision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Agent decision</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Your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Fixed D=20, J=0.5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Same as default (ablation)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Fixed D=100, J=5</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5.0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100</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High-damping fixed baseline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Scenario</w:t>
            </w:r>
          </w:p>
        </w:tc>
        <w:tc>
          <w:tcPr>
            <w:tcW w:type="dxa" w:w="200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Load</w:t>
            </w:r>
          </w:p>
        </w:tc>
        <w:tc>
          <w:tcPr>
            <w:tcW w:type="dxa" w:w="4860"/>
            <w:tcBorders>
              <w:top w:val="single" w:color="2E4E8A" w:sz="1"/>
              <w:left w:val="single" w:color="2E4E8A" w:sz="1"/>
              <w:bottom w:val="single" w:color="2E4E8A" w:sz="1"/>
              <w:right w:val="single" w:color="2E4E8A" w:sz="1"/>
            </w:tcBorders>
            <w:shd w:fill="2E4E8A"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Light Load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4 kW</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Low-stress operation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 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 kW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Nominal operating point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Heavy Load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13 kW</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18"/>
                <w:szCs w:val="18"/>
              </w:rPr>
              <w:t xml:space="preserve">High-stress, worst case</w:t>
            </w:r>
          </w:p>
        </w:tc>
      </w:tr>
    </w:tbl>
    <w:p>
      <w:r>
        <w:t xml:space="preserve"/>
      </w:r>
    </w:p>
    <w:p>
      <w:pPr>
        <w:spacing w:after="120"/>
      </w:pPr>
      <w:r>
        <w:t xml:space="preserve">The comment “这就是论文Table和Figure的核心数据” (This is the core data for the paper’s table and figures) makes the purpose explicit. The script saves results to validation_results.mat and prints a formatted summary table directly comparable to academic paper format.</w:t>
      </w:r>
    </w:p>
    <w:p>
      <w:r>
        <w:t xml:space="preserve"/>
      </w:r>
    </w:p>
    <w:p>
      <w:pPr>
        <w:pStyle w:val="Heading2"/>
      </w:pPr>
      <w:r>
        <w:t xml:space="preserve">5.3  Evidence of Hard-Won Iterative Training</w:t>
      </w:r>
    </w:p>
    <w:p>
      <w:pPr>
        <w:spacing w:after="120"/>
      </w:pPr>
      <w:r>
        <w:t xml:space="preserve">The existence of both RESUME_TD3.m and CONTINUE_TRAINING.m tells a story beyond what any single training run shows. RESUME_TD3.m was created to recover from mid-training crashes by auto-loading the most recently saved checkpoint:</w:t>
      </w:r>
    </w:p>
    <w:p>
      <w:pPr>
        <w:spacing w:after="40" w:before="80"/>
        <w:ind w:left="720"/>
      </w:pPr>
      <w:r>
        <w:rPr>
          <w:rFonts w:ascii="Courier New" w:cs="Courier New" w:eastAsia="Courier New" w:hAnsi="Courier New"/>
          <w:color w:val="1A6B3C"/>
          <w:sz w:val="18"/>
          <w:szCs w:val="18"/>
        </w:rPr>
        <w:t xml:space="preserve">d = dir(fullfile(saveDir,'Agent*.mat'));</w:t>
      </w:r>
    </w:p>
    <w:p>
      <w:pPr>
        <w:spacing w:after="80"/>
        <w:ind w:left="720"/>
      </w:pPr>
      <w:r>
        <w:rPr>
          <w:rFonts w:ascii="Courier New" w:cs="Courier New" w:eastAsia="Courier New" w:hAnsi="Courier New"/>
          <w:color w:val="1A6B3C"/>
          <w:sz w:val="18"/>
          <w:szCs w:val="18"/>
        </w:rPr>
        <w:t xml:space="preserve">[~,idx] = max([d.datenum]);   % auto-select latest checkpoint</w:t>
      </w:r>
    </w:p>
    <w:p>
      <w:pPr>
        <w:spacing w:after="120"/>
      </w:pPr>
      <w:r>
        <w:t xml:space="preserve">CONTINUE_TRAINING.m records a performance milestone in a comment: “当前最佳：Average=-6.90” (current best: Average=-6.90), and the stop-training threshold was tightened from -10.0 to -1.0, signalling substantial progress from the initial training run. Together these files show that the training process involved multiple interrupted sessions with tracked progress — a realistic picture of deep RL development.</w:t>
      </w:r>
    </w:p>
    <w:p>
      <w:r>
        <w:t xml:space="preserve"/>
      </w:r>
    </w:p>
    <w:p>
      <w:r>
        <w:br w:type="page"/>
      </w:r>
    </w:p>
    <w:p>
      <w:pPr>
        <w:pStyle w:val="Heading1"/>
      </w:pPr>
      <w:r>
        <w:t xml:space="preserve">Notable Observation: Legacy Mismatch in setup_vsg_rl.m</w:t>
      </w:r>
    </w:p>
    <w:p>
      <w:pPr>
        <w:spacing w:after="120"/>
      </w:pPr>
      <w:r>
        <w:t xml:space="preserve">One specific technical observation worth noting for your paper or viva defence:</w:t>
      </w:r>
    </w:p>
    <w:p>
      <w:r>
        <w:t xml:space="preserve"/>
      </w:r>
    </w:p>
    <w:p>
      <w:pPr>
        <w:spacing w:after="120"/>
      </w:pPr>
      <w:r>
        <w:t xml:space="preserve">The file setup_vsg_rl.m declares a 4-dimensional observation specification:</w:t>
      </w:r>
    </w:p>
    <w:p>
      <w:pPr>
        <w:spacing w:after="80" w:before="80"/>
        <w:ind w:left="720"/>
      </w:pPr>
      <w:r>
        <w:rPr>
          <w:rFonts w:ascii="Courier New" w:cs="Courier New" w:eastAsia="Courier New" w:hAnsi="Courier New"/>
          <w:color w:val="1A6B3C"/>
          <w:sz w:val="18"/>
          <w:szCs w:val="18"/>
        </w:rPr>
        <w:t xml:space="preserve">obsInfo = rlNumericSpec([4 1], 'LowerLimit', [45;0;0;0], 'UpperLimit', [55;20000;400;1]);</w:t>
      </w:r>
    </w:p>
    <w:p>
      <w:pPr>
        <w:spacing w:after="120"/>
      </w:pPr>
      <w:r>
        <w:t xml:space="preserve">However, the step function it references (vsg_step.m) returns a 5-element observation vector:</w:t>
      </w:r>
    </w:p>
    <w:p>
      <w:pPr>
        <w:spacing w:after="80" w:before="80"/>
        <w:ind w:left="720"/>
      </w:pPr>
      <w:r>
        <w:rPr>
          <w:rFonts w:ascii="Courier New" w:cs="Courier New" w:eastAsia="Courier New" w:hAnsi="Courier New"/>
          <w:color w:val="1A6B3C"/>
          <w:sz w:val="18"/>
          <w:szCs w:val="18"/>
        </w:rPr>
        <w:t xml:space="preserve">observation = [f_fin; Pe_fin; Vamp_fin; J_norm; load_norm];  % 5 elements</w:t>
      </w:r>
    </w:p>
    <w:p>
      <w:pPr>
        <w:spacing w:after="120"/>
      </w:pPr>
      <w:r>
        <w:t xml:space="preserve">This dimension mismatch (4 vs 5) means setup_vsg_rl.m was either abandoned before it was run, or would fail at the first episode. Its observation vector is missing load_norm, the fifth element that START_TRAINING.m correctly includes. This confirms setup_vsg_rl.m is a historical artefact — an early prototype that was superseded before use. It should not be referenced in your paper as a functional baseline.</w:t>
      </w:r>
    </w:p>
    <w:p>
      <w:r>
        <w:t xml:space="preserve"/>
      </w:r>
    </w:p>
    <w:p>
      <w:r>
        <w:br w:type="page"/>
      </w:r>
    </w:p>
    <w:p>
      <w:pPr>
        <w:pStyle w:val="Heading1"/>
      </w:pPr>
      <w:r>
        <w:t xml:space="preserve">Summary: The Story Your Code Tells</w:t>
      </w:r>
    </w:p>
    <w:p>
      <w:pPr>
        <w:spacing w:after="120"/>
      </w:pPr>
      <w:r>
        <w:t xml:space="preserve">Reading across all 14 scripts, a coherent research narrative emerges:</w:t>
      </w:r>
    </w:p>
    <w:p>
      <w:r>
        <w:t xml:space="preserve"/>
      </w:r>
    </w:p>
    <w:p>
      <w:pPr>
        <w:spacing w:after="120"/>
      </w:pPr>
      <w:r>
        <w:rPr>
          <w:b/>
          <w:bCs/>
        </w:rPr>
        <w:t xml:space="preserve">Start: </w:t>
      </w:r>
      <w:r>
        <w:rPr>
          <w:sz w:val="22"/>
          <w:szCs w:val="22"/>
        </w:rPr>
        <w:t xml:space="preserve">You built a minimal DDPG agent controlling only J in 4D state space (setup_vsg_rl.m). It was a proof-of-concept.</w:t>
      </w:r>
    </w:p>
    <w:p>
      <w:r>
        <w:t xml:space="preserve"/>
      </w:r>
    </w:p>
    <w:p>
      <w:pPr>
        <w:spacing w:after="120"/>
      </w:pPr>
      <w:r>
        <w:rPr>
          <w:b/>
          <w:bCs/>
        </w:rPr>
        <w:t xml:space="preserve">Iteration 1: </w:t>
      </w:r>
      <w:r>
        <w:rPr>
          <w:sz w:val="22"/>
          <w:szCs w:val="22"/>
        </w:rPr>
        <w:t xml:space="preserve">You added load context to prevent the reward from being ambiguous across load conditions (START_TRAINING.m, vsg_reset.m).</w:t>
      </w:r>
    </w:p>
    <w:p>
      <w:r>
        <w:t xml:space="preserve"/>
      </w:r>
    </w:p>
    <w:p>
      <w:pPr>
        <w:spacing w:after="120"/>
      </w:pPr>
      <w:r>
        <w:rPr>
          <w:b/>
          <w:bCs/>
        </w:rPr>
        <w:t xml:space="preserve">Exploration: </w:t>
      </w:r>
      <w:r>
        <w:rPr>
          <w:sz w:val="22"/>
          <w:szCs w:val="22"/>
        </w:rPr>
        <w:t xml:space="preserve">You experimented with dual J+D control and voltage/power-quality reward terms, responding to what the simulation data showed (vsg_step_v2.m). This phase was a productive detour.</w:t>
      </w:r>
    </w:p>
    <w:p>
      <w:r>
        <w:t xml:space="preserve"/>
      </w:r>
    </w:p>
    <w:p>
      <w:pPr>
        <w:spacing w:after="120"/>
      </w:pPr>
      <w:r>
        <w:rPr>
          <w:b/>
          <w:bCs/>
        </w:rPr>
        <w:t xml:space="preserve">Alignment: </w:t>
      </w:r>
      <w:r>
        <w:rPr>
          <w:sz w:val="22"/>
          <w:szCs w:val="22"/>
        </w:rPr>
        <w:t xml:space="preserve">You returned to frequency-focused metrics and upgraded to TD3, explicitly aligning the reward and state space with the reference paper (START_TRAINING_TD3.m, vsg_step_td3.m).</w:t>
      </w:r>
    </w:p>
    <w:p>
      <w:r>
        <w:t xml:space="preserve"/>
      </w:r>
    </w:p>
    <w:p>
      <w:pPr>
        <w:spacing w:after="120"/>
      </w:pPr>
      <w:r>
        <w:rPr>
          <w:b/>
          <w:bCs/>
        </w:rPr>
        <w:t xml:space="preserve">Key contribution: </w:t>
      </w:r>
      <w:r>
        <w:rPr>
          <w:sz w:val="22"/>
          <w:szCs w:val="22"/>
        </w:rPr>
        <w:t xml:space="preserve">The Ψ = sign(Δf × dω/dt) state variable gives the agent directional frequency awareness, distinguishing a worsening disturbance from a recovering one.</w:t>
      </w:r>
    </w:p>
    <w:p>
      <w:r>
        <w:t xml:space="preserve"/>
      </w:r>
    </w:p>
    <w:p>
      <w:pPr>
        <w:spacing w:after="120"/>
      </w:pPr>
      <w:r>
        <w:rPr>
          <w:b/>
          <w:bCs/>
        </w:rPr>
        <w:t xml:space="preserve">Validation: </w:t>
      </w:r>
      <w:r>
        <w:rPr>
          <w:sz w:val="22"/>
          <w:szCs w:val="22"/>
        </w:rPr>
        <w:t xml:space="preserve">You built formal infrastructure (baseline_comparison.m, final_validation.m) to generate the exact data needed for paper tables and figures, with 15 experimental runs across 5 methods and 3 load scenarios.</w:t>
      </w:r>
    </w:p>
    <w:p>
      <w:r>
        <w:t xml:space="preserve"/>
      </w:r>
    </w:p>
    <w:p>
      <w:pPr>
        <w:spacing w:after="120"/>
      </w:pPr>
      <w:r>
        <w:rPr>
          <w:i/>
          <w:iCs/>
        </w:rPr>
        <w:t xml:space="preserve">The overall trajectory is characteristic of a well-conducted engineering research project: broad initial exploration, a productive detour that teaches something important, a course correction guided by the literature, and a focused validation phase.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right"/>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E8A" w:sz="4" w:space="2"/>
      </w:pBdr>
    </w:pPr>
    <w:r>
      <w:rPr>
        <w:color w:val="2E4E8A"/>
        <w:sz w:val="18"/>
        <w:szCs w:val="18"/>
      </w:rPr>
      <w:t xml:space="preserve">VSG-RL Project — Evolution Analysis  |  Yuang Wei (20411590)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3A6B" w:sz="4" w:space="2"/>
      </w:pBdr>
      <w:spacing w:before="360" w:after="200"/>
      <w:outlineLvl w:val="0"/>
    </w:pPr>
    <w:rPr>
      <w:rFonts w:ascii="Arial" w:cs="Arial" w:eastAsia="Arial" w:hAnsi="Arial"/>
      <w:b/>
      <w:bCs/>
      <w:color w:val="1A3A6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E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2026-03-15T00:16:07.000Z</dcterms:created>
  <dcterms:modified xsi:type="dcterms:W3CDTF">2026-03-15T00:16:07.001Z</dcterms:modified>
</cp:coreProperties>
</file>

<file path=docProps/custom.xml><?xml version="1.0" encoding="utf-8"?>
<Properties xmlns="http://schemas.openxmlformats.org/officeDocument/2006/custom-properties" xmlns:vt="http://schemas.openxmlformats.org/officeDocument/2006/docPropsVTypes"/>
</file>