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766E"/>
          <w:sz w:val="22"/>
        </w:rPr>
        <w:t>APFEA</w:t>
      </w:r>
    </w:p>
    <w:p>
      <w:pPr>
        <w:spacing w:after="80"/>
      </w:pPr>
      <w:r>
        <w:rPr>
          <w:b/>
          <w:color w:val="1B2A4E"/>
          <w:sz w:val="60"/>
        </w:rPr>
        <w:t>APFEA Reports</w:t>
      </w:r>
    </w:p>
    <w:p>
      <w:pPr>
        <w:spacing w:after="80"/>
      </w:pPr>
      <w:r>
        <w:rPr>
          <w:i w:val="0"/>
          <w:color w:val="475569"/>
          <w:sz w:val="22"/>
        </w:rPr>
        <w:t>DemoSoC-1 — Foundry Process Agent, Pre-Tape-Out Margin, and Control Tower reports combined in one document.</w:t>
      </w:r>
    </w:p>
    <w:p>
      <w:pPr>
        <w:pBdr>
          <w:bottom w:val="single" w:sz="6" w:space="1" w:color="0F766E"/>
        </w:pBdr>
        <w:spacing w:after="200"/>
      </w:pPr>
    </w:p>
    <w:p>
      <w:pPr>
        <w:spacing w:after="160"/>
      </w:pPr>
      <w:r>
        <w:rPr>
          <w:i w:val="0"/>
          <w:sz w:val="19"/>
        </w:rPr>
        <w:t>AI-assisted Phenomenological Foundry Engineering Approach (APFEA). All data in these reports are the synthetic DemoSoC-1 sample data (DEMO-PDK, 3 nm-class values for demonstration only). The reports are planner-level: they observe, attribute, and recommend — they do not run circuit simulation and do not actuate fab equipment.</w:t>
      </w:r>
    </w:p>
    <w:p>
      <w:pPr>
        <w:pStyle w:val="Heading3"/>
      </w:pPr>
      <w:r>
        <w:t>How the three reports fit together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Pre-Tape-Out Margin Report (Part One) — the pre-tape-out check: design against anticipated VTs (VTs), not VT0.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Foundry Process Agent Report — the full-flow judgement across design, tapeout, fab, interposer, wafer sort, packaging, and final test.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Control Tower Report (Part Two) — the silicon closed loop: realized shifts refit the rules for the next tape-out.</w:t>
      </w:r>
    </w:p>
    <w:p>
      <w:pPr>
        <w:pStyle w:val="Heading3"/>
      </w:pPr>
      <w:r>
        <w:t>Contents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1. Foundry Process Agent Report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2. APFEA Pre-Tape-Out Margin Report (prototype v0.2)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3. APFEA Control Tower Report (prototype v0.2)</w:t>
      </w:r>
    </w:p>
    <w:p>
      <w:r>
        <w:br w:type="page"/>
      </w:r>
    </w:p>
    <w:p>
      <w:pPr>
        <w:pStyle w:val="Heading1"/>
      </w:pPr>
      <w:r>
        <w:t>1  —  Foundry Process Agent Report</w:t>
      </w:r>
    </w:p>
    <w:p>
      <w:pPr>
        <w:spacing w:after="120"/>
      </w:pPr>
      <w:r>
        <w:rPr>
          <w:i w:val="0"/>
          <w:color w:val="475569"/>
          <w:sz w:val="20"/>
        </w:rPr>
        <w:t>DemoSoC-1 (synthetic sample customer chip)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Main chip: </w:t>
      </w:r>
      <w:r>
        <w:rPr>
          <w:b w:val="0"/>
          <w:sz w:val="19"/>
        </w:rPr>
        <w:t>SoC ASIC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Stages observed: </w:t>
      </w:r>
      <w:r>
        <w:rPr>
          <w:b w:val="0"/>
          <w:sz w:val="19"/>
        </w:rPr>
        <w:t>design, tapeout, fab, interposer, wafer_sort, packaging_3d, final_test</w:t>
      </w:r>
    </w:p>
    <w:p>
      <w:pPr>
        <w:pStyle w:val="Heading2"/>
      </w:pPr>
      <w:r>
        <w:t>Stage results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design: </w:t>
      </w:r>
      <w:r>
        <w:rPr>
          <w:b w:val="0"/>
          <w:sz w:val="19"/>
        </w:rPr>
        <w:t>DOE PASS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fab: </w:t>
      </w:r>
      <w:r>
        <w:rPr>
          <w:b w:val="0"/>
          <w:sz w:val="19"/>
        </w:rPr>
        <w:t>VT REFIT APPLIED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packaging_3d: </w:t>
      </w:r>
      <w:r>
        <w:rPr>
          <w:b w:val="0"/>
          <w:sz w:val="19"/>
        </w:rPr>
        <w:t>MULTI-DIE GATE: main SoC ASIC + DRAM, HBM, photonics, analog</w:t>
      </w:r>
    </w:p>
    <w:p>
      <w:pPr>
        <w:pStyle w:val="Heading2"/>
      </w:pPr>
      <w:r>
        <w:t>Block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7200"/>
            <w:vAlign w:val="center"/>
            <w:shd w:fill="1B2A4E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2880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Health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CPU cluster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6652D"/>
                <w:sz w:val="17"/>
              </w:rPr>
              <w:t>GREEN</w:t>
            </w:r>
          </w:p>
        </w:tc>
      </w:tr>
      <w:tr>
        <w:tc>
          <w:tcPr>
            <w:tcW w:type="dxa" w:w="7200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GPU / fabric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652D"/>
                <w:sz w:val="17"/>
              </w:rPr>
              <w:t>GREEN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IO bank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6652D"/>
                <w:sz w:val="17"/>
              </w:rPr>
              <w:t>GREEN</w:t>
            </w:r>
          </w:p>
        </w:tc>
      </w:tr>
      <w:tr>
        <w:tc>
          <w:tcPr>
            <w:tcW w:type="dxa" w:w="7200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SRAM cache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B91C1C"/>
                <w:sz w:val="17"/>
              </w:rPr>
              <w:t>RED</w:t>
            </w:r>
          </w:p>
        </w:tc>
      </w:tr>
      <w:tr>
        <w:tc>
          <w:tcPr>
            <w:tcW w:type="dxa" w:w="7200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PLL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16652D"/>
                <w:sz w:val="17"/>
              </w:rPr>
              <w:t>GREEN</w:t>
            </w:r>
          </w:p>
        </w:tc>
      </w:tr>
      <w:tr>
        <w:tc>
          <w:tcPr>
            <w:tcW w:type="dxa" w:w="7200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SerDes 112G</w:t>
            </w:r>
          </w:p>
        </w:tc>
        <w:tc>
          <w:tcPr>
            <w:tcW w:type="dxa" w:w="2880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16652D"/>
                <w:sz w:val="17"/>
              </w:rPr>
              <w:t>GREEN</w:t>
            </w:r>
          </w:p>
        </w:tc>
      </w:tr>
    </w:tbl>
    <w:p>
      <w:pPr>
        <w:spacing w:after="40"/>
      </w:pPr>
    </w:p>
    <w:p>
      <w:pPr>
        <w:pStyle w:val="Heading2"/>
      </w:pPr>
      <w:r>
        <w:t>Actions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HOLD SPEC: SRAM cache is foundry-fixed and stays at VT0; remedy is CMOS-side only (LVT center within +/-4.0% of VT0)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Apply silicon-refit shift rules to the next tape-out (est. error 0.50% -&gt; 0.26%)</w:t>
      </w:r>
    </w:p>
    <w:p>
      <w:r>
        <w:br w:type="page"/>
      </w:r>
    </w:p>
    <w:p>
      <w:pPr>
        <w:pStyle w:val="Heading1"/>
      </w:pPr>
      <w:r>
        <w:t>2  —  APFEA Pre-Tape-Out Margin Report</w:t>
      </w:r>
    </w:p>
    <w:p>
      <w:pPr>
        <w:spacing w:after="120"/>
      </w:pPr>
      <w:r>
        <w:rPr>
          <w:i w:val="0"/>
          <w:color w:val="475569"/>
          <w:sz w:val="20"/>
        </w:rPr>
        <w:t>Prototype v0.2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PDK: </w:t>
      </w:r>
      <w:r>
        <w:rPr>
          <w:b w:val="0"/>
          <w:sz w:val="19"/>
        </w:rPr>
        <w:t>DEMO-PDK (synthetic, 3nm-class values for demonstration only)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Customer chip: </w:t>
      </w:r>
      <w:r>
        <w:rPr>
          <w:b w:val="0"/>
          <w:sz w:val="19"/>
        </w:rPr>
        <w:t>DemoSoC-1 (synthetic sample customer chip) — type soc_large, die 520 mm², specialty devices: serdes, pll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Shift rules apply: </w:t>
      </w:r>
      <w:r>
        <w:rPr>
          <w:b w:val="0"/>
          <w:sz w:val="19"/>
        </w:rPr>
        <w:t>yes (chip type gate in config/shift_rules.json)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Residual estimation error carried: </w:t>
      </w:r>
      <w:r>
        <w:rPr>
          <w:b w:val="0"/>
          <w:sz w:val="19"/>
        </w:rPr>
        <w:t>0.50%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Business model: </w:t>
      </w:r>
      <w:r>
        <w:rPr>
          <w:b w:val="0"/>
          <w:sz w:val="19"/>
        </w:rPr>
        <w:t>foundry — foundry-fixed blocks (SRAM) keep VT0, spec untouchable; only CMOS VTs change</w:t>
      </w:r>
    </w:p>
    <w:p>
      <w:pPr>
        <w:pStyle w:val="Heading2"/>
      </w:pPr>
      <w:r>
        <w:t>Step I — Anticipated VTs</w:t>
      </w:r>
    </w:p>
    <w:p>
      <w:pPr>
        <w:spacing w:after="80"/>
      </w:pPr>
      <w:r>
        <w:rPr>
          <w:i w:val="0"/>
          <w:sz w:val="19"/>
        </w:rPr>
        <w:t>CMOS designs against VTs, not VT0.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1B2A4E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Flavor</w:t>
            </w:r>
          </w:p>
        </w:tc>
        <w:tc>
          <w:tcPr>
            <w:tcW w:type="dxa" w:w="1704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Pol</w:t>
            </w:r>
          </w:p>
        </w:tc>
        <w:tc>
          <w:tcPr>
            <w:tcW w:type="dxa" w:w="1704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VT0 (V)</w:t>
            </w:r>
          </w:p>
        </w:tc>
        <w:tc>
          <w:tcPr>
            <w:tcW w:type="dxa" w:w="1704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Shift</w:t>
            </w:r>
          </w:p>
        </w:tc>
        <w:tc>
          <w:tcPr>
            <w:tcW w:type="dxa" w:w="1704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VTs (V)</w:t>
            </w:r>
          </w:p>
        </w:tc>
        <w:tc>
          <w:tcPr>
            <w:tcW w:type="dxa" w:w="1704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sigma (% of |VT|)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HVT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+0.420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+0.0%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+0.4200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HVT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-0.400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+0.0%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-0.4000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2.0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+0.280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-6.0%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+0.2632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2.3</w:t>
            </w:r>
          </w:p>
        </w:tc>
      </w:tr>
      <w:tr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-0.260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-6.0%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-0.2444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2.3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+0.350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+2.0%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+0.3570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2.2</w:t>
            </w:r>
          </w:p>
        </w:tc>
      </w:tr>
      <w:tr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-0.330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+2.0%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-0.3366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2.2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ULVT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N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+0.220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-4.0%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+0.2112</w:t>
            </w:r>
          </w:p>
        </w:tc>
        <w:tc>
          <w:tcPr>
            <w:tcW w:type="dxa" w:w="1704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2.2</w:t>
            </w:r>
          </w:p>
        </w:tc>
      </w:tr>
      <w:tr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ULVT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-0.200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-4.0%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-0.1920</w:t>
            </w:r>
          </w:p>
        </w:tc>
        <w:tc>
          <w:tcPr>
            <w:tcW w:type="dxa" w:w="1704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2.2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sz w:val="19"/>
        </w:rPr>
        <w:t>Foundry-fixed blocks (e.g. SRAM) are NOT shifted: they keep VT0 as their design point, exactly as the foundry supplies them. VTs apply to the customer's CMOS design only.</w:t>
      </w:r>
    </w:p>
    <w:p>
      <w:pPr>
        <w:pStyle w:val="Heading2"/>
      </w:pPr>
      <w:r>
        <w:t>Silicon corner splits around VTs</w:t>
      </w:r>
    </w:p>
    <w:p>
      <w:pPr>
        <w:spacing w:after="80"/>
      </w:pPr>
      <w:r>
        <w:rPr>
          <w:i w:val="0"/>
          <w:sz w:val="19"/>
        </w:rPr>
        <w:t>|VT|, N devices, CMOS flavors.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Flavor</w:t>
            </w:r>
          </w:p>
        </w:tc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-3sigma</w:t>
            </w:r>
          </w:p>
        </w:tc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-2sigma</w:t>
            </w:r>
          </w:p>
        </w:tc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-1sigma</w:t>
            </w:r>
          </w:p>
        </w:tc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+0sigma</w:t>
            </w:r>
          </w:p>
        </w:tc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+1sigma</w:t>
            </w:r>
          </w:p>
        </w:tc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+2sigma</w:t>
            </w:r>
          </w:p>
        </w:tc>
        <w:tc>
          <w:tcPr>
            <w:tcW w:type="dxa" w:w="1278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+3sigma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HVT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0.3948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0.4032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0.4116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0.4200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0.4284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0.4368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0.4452</w:t>
            </w:r>
          </w:p>
        </w:tc>
      </w:tr>
      <w:tr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0.2450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0.2511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0.2571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0.2632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0.2693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0.2753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0.2814</w:t>
            </w:r>
          </w:p>
        </w:tc>
      </w:tr>
      <w:tr>
        <w:tc>
          <w:tcPr>
            <w:tcW w:type="dxa" w:w="1278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0.3334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0.3413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0.3491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0.3570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0.3649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0.3727</w:t>
            </w:r>
          </w:p>
        </w:tc>
        <w:tc>
          <w:tcPr>
            <w:tcW w:type="dxa" w:w="1278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0.3806</w:t>
            </w:r>
          </w:p>
        </w:tc>
      </w:tr>
      <w:tr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ULVT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0.1973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0.2019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0.2066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0.2112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0.2158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0.2205</w:t>
            </w:r>
          </w:p>
        </w:tc>
        <w:tc>
          <w:tcPr>
            <w:tcW w:type="dxa" w:w="1278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0.2251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Step II — Block checks (continued)</w:t>
      </w:r>
    </w:p>
    <w:p>
      <w:pPr>
        <w:pStyle w:val="Heading3"/>
      </w:pPr>
      <w:r>
        <w:t>Customer CMOS blocks (worst-case deviation vs block window)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B2A4E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1461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Flavor</w:t>
            </w:r>
          </w:p>
        </w:tc>
        <w:tc>
          <w:tcPr>
            <w:tcW w:type="dxa" w:w="1461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1461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Conv. flow dev</w:t>
            </w:r>
          </w:p>
        </w:tc>
        <w:tc>
          <w:tcPr>
            <w:tcW w:type="dxa" w:w="1461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Conv.</w:t>
            </w:r>
          </w:p>
        </w:tc>
        <w:tc>
          <w:tcPr>
            <w:tcW w:type="dxa" w:w="1461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APFEA flow dev</w:t>
            </w:r>
          </w:p>
        </w:tc>
        <w:tc>
          <w:tcPr>
            <w:tcW w:type="dxa" w:w="1461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APFEA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CPU cluster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9.0%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8.6%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7.1%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GPU / fabric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12.9%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B91C1C"/>
                <w:sz w:val="17"/>
              </w:rPr>
              <w:t>AT RISK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7.4%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SerDes 112G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ULVT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7.5%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10.6%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B91C1C"/>
                <w:sz w:val="17"/>
              </w:rPr>
              <w:t>AT RISK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7.1%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PLL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8.6%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/>
                <w:color w:val="B91C1C"/>
                <w:sz w:val="17"/>
              </w:rPr>
              <w:t>AT RISK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7.1%</w:t>
            </w:r>
          </w:p>
        </w:tc>
        <w:tc>
          <w:tcPr>
            <w:tcW w:type="dxa" w:w="1461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1461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IO bank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HVT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10.0%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6.0%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6.5%</w:t>
            </w:r>
          </w:p>
        </w:tc>
        <w:tc>
          <w:tcPr>
            <w:tcW w:type="dxa" w:w="1461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sz w:val="19"/>
        </w:rPr>
        <w:t>Conventional flow designs against VT0, so silicon deviates from the design center by |shift| + 3 sigma in the worst case. The APFEA flow designs against VTs, leaving only 3 sigma + residual estimation error.</w:t>
      </w:r>
    </w:p>
    <w:p>
      <w:pPr>
        <w:pStyle w:val="Heading3"/>
      </w:pPr>
      <w:r>
        <w:t>Foundry-fixed blocks (design point stays at VT0 — spec untouchable)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Flavor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Center tolerance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Anticipated center shift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Check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SRAM cache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+/-4.0%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-6.0%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B91C1C"/>
                <w:sz w:val="17"/>
              </w:rPr>
              <w:t>AT RISK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sz w:val="19"/>
        </w:rPr>
        <w:t>The conventional flow never performs this check before tape-out; APFEA performs it in Step II. A violated constraint is remedied on the CMOS side only — design centering, flavor strategy, process targeting with the foundry. The fixed block's spec is never an action item.</w:t>
      </w:r>
    </w:p>
    <w:p>
      <w:pPr>
        <w:pStyle w:val="Heading2"/>
      </w:pPr>
      <w:r>
        <w:t>Verdict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 xml:space="preserve">CMOS blocks at risk under the conventional (VT0) flow: </w:t>
      </w:r>
      <w:r>
        <w:rPr>
          <w:b/>
          <w:sz w:val="19"/>
        </w:rPr>
        <w:t>3 / 5</w:t>
      </w:r>
      <w:r>
        <w:rPr>
          <w:b w:val="0"/>
          <w:sz w:val="19"/>
        </w:rPr>
        <w:t xml:space="preserve"> — each is a mask-fix re-tape-out exposure.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 xml:space="preserve">CMOS blocks at risk under the APFEA (VTs) flow: </w:t>
      </w:r>
      <w:r>
        <w:rPr>
          <w:b/>
          <w:sz w:val="19"/>
        </w:rPr>
        <w:t>0 / 5</w:t>
      </w:r>
      <w:r>
        <w:rPr>
          <w:b w:val="0"/>
          <w:sz w:val="19"/>
        </w:rPr>
        <w:t>.</w:t>
      </w:r>
    </w:p>
    <w:p>
      <w:pPr>
        <w:pStyle w:val="ListBullet"/>
        <w:spacing w:after="60"/>
        <w:ind w:left="360"/>
      </w:pPr>
      <w:r>
        <w:rPr>
          <w:b/>
          <w:sz w:val="19"/>
        </w:rPr>
        <w:t>Foundry-fixed constraint violated</w:t>
      </w:r>
      <w:r>
        <w:rPr>
          <w:b w:val="0"/>
          <w:sz w:val="19"/>
        </w:rPr>
        <w:t>: SRAM cache (LVT) — anticipated center shift -6.0% exceeds its +/-4.0% tolerance around VT0. HOLD THE SPEC: SRAM cache stays at VT0; pull the LVT center back via CMOS-side centering and foundry process targeting.</w:t>
      </w:r>
    </w:p>
    <w:p>
      <w:pPr>
        <w:pStyle w:val="ListBullet"/>
        <w:spacing w:after="60"/>
        <w:ind w:left="360"/>
      </w:pPr>
      <w:r>
        <w:rPr>
          <w:b/>
          <w:sz w:val="19"/>
        </w:rPr>
        <w:t>VTs1 for silicon corner lots</w:t>
      </w:r>
      <w:r>
        <w:rPr>
          <w:b w:val="0"/>
          <w:sz w:val="19"/>
        </w:rPr>
        <w:t>: VTs (anticipated true center from step I). Use VTs as the center for real silicon corner-lot splits, subject to the foundry-fixed block constraints: the remedy for a violated constraint is CMOS-side (design centering, flavor strategy, process targeting with the foundry) — the fixed block's spec is never touched.</w:t>
      </w:r>
    </w:p>
    <w:p>
      <w:pPr>
        <w:spacing w:before="80"/>
        <w:ind w:left="216"/>
      </w:pPr>
      <w:r>
        <w:rPr>
          <w:i/>
          <w:color w:val="475569"/>
          <w:sz w:val="17"/>
        </w:rPr>
        <w:t>Scope note: planner-level margin bookkeeping per APFEA v3 Part One. No circuit simulation is run; block windows, tolerances and shift rules are configuration to be fitted from each foundry/design-house pair's own history.</w:t>
      </w:r>
    </w:p>
    <w:p>
      <w:r>
        <w:br w:type="page"/>
      </w:r>
    </w:p>
    <w:p>
      <w:pPr>
        <w:pStyle w:val="Heading1"/>
      </w:pPr>
      <w:r>
        <w:t>3  —  APFEA Control Tower Report</w:t>
      </w:r>
    </w:p>
    <w:p>
      <w:pPr>
        <w:spacing w:after="120"/>
      </w:pPr>
      <w:r>
        <w:rPr>
          <w:i w:val="0"/>
          <w:color w:val="475569"/>
          <w:sz w:val="20"/>
        </w:rPr>
        <w:t>Prototype v0.2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Program: </w:t>
      </w:r>
      <w:r>
        <w:rPr>
          <w:b w:val="0"/>
          <w:sz w:val="19"/>
        </w:rPr>
        <w:t>DemoSoC-1 rev A (first silicon)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Current stage reached: </w:t>
      </w:r>
      <w:r>
        <w:rPr>
          <w:b w:val="0"/>
          <w:sz w:val="19"/>
        </w:rPr>
        <w:t>Final test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Program health: </w:t>
      </w:r>
      <w:r>
        <w:rPr>
          <w:b/>
          <w:color w:val="B91C1C"/>
          <w:sz w:val="19"/>
        </w:rPr>
        <w:t>RED</w:t>
      </w:r>
    </w:p>
    <w:p>
      <w:pPr>
        <w:pStyle w:val="Heading2"/>
      </w:pPr>
      <w:r>
        <w:t>Flow status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Design: </w:t>
      </w:r>
      <w:r>
        <w:rPr>
          <w:b w:val="0"/>
          <w:sz w:val="19"/>
        </w:rPr>
        <w:t>done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Tape-out: </w:t>
      </w:r>
      <w:r>
        <w:rPr>
          <w:b w:val="0"/>
          <w:sz w:val="19"/>
        </w:rPr>
        <w:t>done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Fabrication: </w:t>
      </w:r>
      <w:r>
        <w:rPr>
          <w:b w:val="0"/>
          <w:sz w:val="19"/>
        </w:rPr>
        <w:t>done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Interposer: </w:t>
      </w:r>
      <w:r>
        <w:rPr>
          <w:b w:val="0"/>
          <w:sz w:val="19"/>
        </w:rPr>
        <w:t>done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Wafer sort: </w:t>
      </w:r>
      <w:r>
        <w:rPr>
          <w:b w:val="0"/>
          <w:sz w:val="19"/>
        </w:rPr>
        <w:t>done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2.5D/3D packaging: </w:t>
      </w:r>
      <w:r>
        <w:rPr>
          <w:b w:val="0"/>
          <w:sz w:val="19"/>
        </w:rPr>
        <w:t>done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Final test: </w:t>
      </w:r>
      <w:r>
        <w:rPr>
          <w:b w:val="0"/>
          <w:sz w:val="19"/>
        </w:rPr>
        <w:t>done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PCBA: </w:t>
      </w:r>
      <w:r>
        <w:rPr>
          <w:b w:val="0"/>
          <w:sz w:val="19"/>
        </w:rPr>
        <w:t>pending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System: </w:t>
      </w:r>
      <w:r>
        <w:rPr>
          <w:b w:val="0"/>
          <w:sz w:val="19"/>
        </w:rPr>
        <w:t>pending</w:t>
      </w:r>
    </w:p>
    <w:p>
      <w:pPr>
        <w:pStyle w:val="Heading2"/>
      </w:pPr>
      <w:r>
        <w:t>VT feedback — anticipated vs realized</w:t>
      </w:r>
    </w:p>
    <w:p>
      <w:pPr>
        <w:spacing w:after="80"/>
      </w:pPr>
      <w:r>
        <w:rPr>
          <w:i w:val="0"/>
          <w:sz w:val="19"/>
        </w:rPr>
        <w:t>Fab corner-lot readout.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B2A4E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Flavor</w:t>
            </w:r>
          </w:p>
        </w:tc>
        <w:tc>
          <w:tcPr>
            <w:tcW w:type="dxa" w:w="2556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Anticipated shift</w:t>
            </w:r>
          </w:p>
        </w:tc>
        <w:tc>
          <w:tcPr>
            <w:tcW w:type="dxa" w:w="2556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Realized shift</w:t>
            </w:r>
          </w:p>
        </w:tc>
        <w:tc>
          <w:tcPr>
            <w:tcW w:type="dxa" w:w="2556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Delta (estimator bias)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HVT</w:t>
            </w:r>
          </w:p>
        </w:tc>
        <w:tc>
          <w:tcPr>
            <w:tcW w:type="dxa" w:w="2556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+0.00%</w:t>
            </w:r>
          </w:p>
        </w:tc>
        <w:tc>
          <w:tcPr>
            <w:tcW w:type="dxa" w:w="2556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+0.31%</w:t>
            </w:r>
          </w:p>
        </w:tc>
        <w:tc>
          <w:tcPr>
            <w:tcW w:type="dxa" w:w="2556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+0.31%</w:t>
            </w:r>
          </w:p>
        </w:tc>
      </w:tr>
      <w:tr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-6.00%</w:t>
            </w:r>
          </w:p>
        </w:tc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-5.29%</w:t>
            </w:r>
          </w:p>
        </w:tc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+0.71%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2556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+2.00%</w:t>
            </w:r>
          </w:p>
        </w:tc>
        <w:tc>
          <w:tcPr>
            <w:tcW w:type="dxa" w:w="2556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+2.40%</w:t>
            </w:r>
          </w:p>
        </w:tc>
        <w:tc>
          <w:tcPr>
            <w:tcW w:type="dxa" w:w="2556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+0.40%</w:t>
            </w:r>
          </w:p>
        </w:tc>
      </w:tr>
      <w:tr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ULVT</w:t>
            </w:r>
          </w:p>
        </w:tc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-4.00%</w:t>
            </w:r>
          </w:p>
        </w:tc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-4.59%</w:t>
            </w:r>
          </w:p>
        </w:tc>
        <w:tc>
          <w:tcPr>
            <w:tcW w:type="dxa" w:w="2556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-0.59%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  <w:sz w:val="19"/>
        </w:rPr>
        <w:t>RMS estimator bias this cycle: 0.53%. Residual estimation error for the next tape-out: 0.50% -&gt; 0.26% (refit from silicon, floored — calibration shrinks humility, never erases it).</w:t>
      </w:r>
    </w:p>
    <w:p>
      <w:pPr>
        <w:spacing w:after="60"/>
      </w:pPr>
      <w:r>
        <w:rPr>
          <w:i w:val="0"/>
          <w:sz w:val="19"/>
        </w:rPr>
        <w:t>Refit shift rules for the next tape-out (config/shift_rules.json values):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HVT: </w:t>
      </w:r>
      <w:r>
        <w:rPr>
          <w:b w:val="0"/>
          <w:sz w:val="19"/>
        </w:rPr>
        <w:t>+0.31%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LVT: </w:t>
      </w:r>
      <w:r>
        <w:rPr>
          <w:b w:val="0"/>
          <w:sz w:val="19"/>
        </w:rPr>
        <w:t>-5.29%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RVT: </w:t>
      </w:r>
      <w:r>
        <w:rPr>
          <w:b w:val="0"/>
          <w:sz w:val="19"/>
        </w:rPr>
        <w:t>+2.40%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ULVT: </w:t>
      </w:r>
      <w:r>
        <w:rPr>
          <w:b w:val="0"/>
          <w:sz w:val="19"/>
        </w:rPr>
        <w:t>-4.59%</w:t>
      </w:r>
    </w:p>
    <w:p>
      <w:pPr>
        <w:pStyle w:val="Heading2"/>
      </w:pPr>
      <w:r>
        <w:t>Rev-B margin re-check</w:t>
      </w:r>
    </w:p>
    <w:p>
      <w:pPr>
        <w:spacing w:after="80"/>
      </w:pPr>
      <w:r>
        <w:rPr>
          <w:i w:val="0"/>
          <w:sz w:val="19"/>
        </w:rPr>
        <w:t>Refit rules, Part One DOE re-run.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7"/>
              </w:rPr>
              <w:t>Block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Flavor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Window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Worst-case dev</w:t>
            </w:r>
          </w:p>
        </w:tc>
        <w:tc>
          <w:tcPr>
            <w:tcW w:type="dxa" w:w="2045"/>
            <w:vAlign w:val="center"/>
            <w:shd w:fill="1B2A4E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CPU cluster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9.0%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6.9%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GPU / fabric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7.2%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SRAM cache (foundry-fixed @VT0 — center check)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LVT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4.0%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5.3%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color w:val="B91C1C"/>
                <w:sz w:val="17"/>
              </w:rPr>
              <w:t>AT RISK</w:t>
            </w:r>
          </w:p>
        </w:tc>
      </w:tr>
      <w:tr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SerDes 112G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ULVT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7.5%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6.9%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PLL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RVT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8.0%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6.9%</w:t>
            </w:r>
          </w:p>
        </w:tc>
        <w:tc>
          <w:tcPr>
            <w:tcW w:type="dxa" w:w="2045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left"/>
            </w:pPr>
            <w:r>
              <w:rPr>
                <w:b w:val="0"/>
                <w:sz w:val="17"/>
              </w:rPr>
              <w:t>IO bank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HVT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10.0%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6.3%</w:t>
            </w:r>
          </w:p>
        </w:tc>
        <w:tc>
          <w:tcPr>
            <w:tcW w:type="dxa" w:w="2045"/>
            <w:vAlign w:val="center"/>
            <w:shd w:fill="F8FAFC"/>
          </w:tcPr>
          <w:p>
            <w:pPr>
              <w:spacing w:before="40" w:after="40"/>
              <w:jc w:val="center"/>
            </w:pPr>
            <w:r>
              <w:rPr>
                <w:b w:val="0"/>
                <w:sz w:val="17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</w:pPr>
      <w:r>
        <w:t>Block health (downstream data)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CPU cluster: </w:t>
      </w:r>
      <w:r>
        <w:rPr>
          <w:b w:val="0"/>
          <w:color w:val="16652D"/>
          <w:sz w:val="19"/>
        </w:rPr>
        <w:t>GREEN — wafer-sort yield 99.2%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GPU / fabric: </w:t>
      </w:r>
      <w:r>
        <w:rPr>
          <w:b w:val="0"/>
          <w:color w:val="16652D"/>
          <w:sz w:val="19"/>
        </w:rPr>
        <w:t>GREEN — wafer-sort yield 98.7%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IO bank: </w:t>
      </w:r>
      <w:r>
        <w:rPr>
          <w:b w:val="0"/>
          <w:color w:val="16652D"/>
          <w:sz w:val="19"/>
        </w:rPr>
        <w:t>GREEN — wafer-sort yield 99.8%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PLL: </w:t>
      </w:r>
      <w:r>
        <w:rPr>
          <w:b w:val="0"/>
          <w:color w:val="16652D"/>
          <w:sz w:val="19"/>
        </w:rPr>
        <w:t>GREEN — final test: pass all corners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SRAM cache: </w:t>
      </w:r>
      <w:r>
        <w:rPr>
          <w:b w:val="0"/>
          <w:color w:val="B91C1C"/>
          <w:sz w:val="19"/>
        </w:rPr>
        <w:t>RED — wafer-sort yield 91.5%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SerDes 112G: </w:t>
      </w:r>
      <w:r>
        <w:rPr>
          <w:b w:val="0"/>
          <w:color w:val="16652D"/>
          <w:sz w:val="19"/>
        </w:rPr>
        <w:t>GREEN — final test: pass all corners; eye margin nominal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Note: </w:t>
      </w:r>
      <w:r>
        <w:rPr>
          <w:b w:val="0"/>
          <w:sz w:val="19"/>
        </w:rPr>
        <w:t>SRAM fails cluster on low-|VT| corner lots — consistent with the Part One redesign flag.</w:t>
      </w:r>
    </w:p>
    <w:p>
      <w:pPr>
        <w:pStyle w:val="ListBullet"/>
        <w:spacing w:after="60"/>
        <w:ind w:left="360"/>
      </w:pPr>
      <w:r>
        <w:rPr>
          <w:b/>
          <w:sz w:val="19"/>
        </w:rPr>
        <w:t xml:space="preserve">Note: </w:t>
      </w:r>
      <w:r>
        <w:rPr>
          <w:b w:val="0"/>
          <w:sz w:val="19"/>
        </w:rPr>
        <w:t>Timing-sensitive blocks validate the VTs-centered design margins.</w:t>
      </w:r>
    </w:p>
    <w:p>
      <w:pPr>
        <w:pStyle w:val="Heading2"/>
      </w:pPr>
      <w:r>
        <w:t>Open actions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HOLD SPEC: SRAM cache is foundry-fixed and stays at VT0 — silicon yield loss CONFIRMED; remedy is CMOS-side only: pull the LVT silicon center within +/-4.0% of VT0 via CMOS VTs centering and foundry process targeting. Never redesign the fixed block.</w:t>
      </w:r>
    </w:p>
    <w:p>
      <w:pPr>
        <w:pStyle w:val="ListBullet"/>
        <w:spacing w:after="60"/>
        <w:ind w:left="360"/>
      </w:pPr>
      <w:r>
        <w:rPr>
          <w:b w:val="0"/>
          <w:sz w:val="19"/>
        </w:rPr>
        <w:t>Apply silicon-refit shift rules to the next tape-out (est. error 0.50% -&gt; 0.26%)</w:t>
      </w:r>
    </w:p>
    <w:p>
      <w:pPr>
        <w:spacing w:before="80"/>
        <w:ind w:left="216"/>
      </w:pPr>
      <w:r>
        <w:rPr>
          <w:i/>
          <w:color w:val="475569"/>
          <w:sz w:val="17"/>
        </w:rPr>
        <w:t>Scope note: the tower observes, attributes, and recommends; it does not actuate fab equipment. Planner-level bookkeeping per APFEA v3 Part Two.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5"/>
      </w:rPr>
      <w:t>APFEA Reports  •  DemoSoC-1 (synthetic sample customer chip)  •  Planner-level reports — no circuit simulation, no fab actuation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7" w:lineRule="auto"/>
    </w:pPr>
    <w:rPr>
      <w:rFonts w:ascii="Calibri" w:hAnsi="Calibri"/>
      <w:color w:val="1E29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2A4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2A4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APFEA Reports — DemoSoC-1</dc:title>
  <dc:subject>Combined Foundry Process Agent, Pre-Tape-Out Margin, and Control Tower reports</dc:subject>
  <dc:creator>Winston Y Yan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