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d-launch-render-migration-guide"/>
    <w:p>
      <w:pPr>
        <w:pStyle w:val="Heading1"/>
      </w:pPr>
      <w:r>
        <w:t xml:space="preserve">Ad Launch → Render Migration Guide</w:t>
      </w:r>
    </w:p>
    <w:p>
      <w:pPr>
        <w:pStyle w:val="FirstParagraph"/>
      </w:pPr>
      <w:r>
        <w:t xml:space="preserve">This guide covers deploying the Ad Launch frontend to</w:t>
      </w:r>
      <w:r>
        <w:t xml:space="preserve"> </w:t>
      </w:r>
      <w:hyperlink r:id="rId20">
        <w:r>
          <w:rPr>
            <w:rStyle w:val="Hyperlink"/>
          </w:rPr>
          <w:t xml:space="preserve">Render</w:t>
        </w:r>
      </w:hyperlink>
      <w:r>
        <w:t xml:space="preserve"> </w:t>
      </w:r>
      <w:r>
        <w:t xml:space="preserve">as a Docker web service, linked to the GitHub repo</w:t>
      </w:r>
      <w:r>
        <w:t xml:space="preserve"> </w:t>
      </w:r>
      <w:r>
        <w:rPr>
          <w:rStyle w:val="VerbatimChar"/>
        </w:rPr>
        <w:t xml:space="preserve">wyatt-lgtm/ad-launch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files-added"/>
    <w:p>
      <w:pPr>
        <w:pStyle w:val="Heading2"/>
      </w:pPr>
      <w:r>
        <w:t xml:space="preserve">1. Files Added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nextjs_space/Dockerfile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Multi-stage Docker build (deps → build → production runner)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nextjs_space/.dockerignore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the Docker context 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Blueprint — auto-configures the web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nextjs_space/.env.render.example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for all required environment variables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quick-start"/>
    <w:p>
      <w:pPr>
        <w:pStyle w:val="Heading2"/>
      </w:pPr>
      <w:r>
        <w:t xml:space="preserve">2. Quick Start</w:t>
      </w:r>
    </w:p>
    <w:bookmarkStart w:id="23" w:name="option-a-blueprint-recommended"/>
    <w:p>
      <w:pPr>
        <w:pStyle w:val="Heading3"/>
      </w:pPr>
      <w:r>
        <w:t xml:space="preserve">Option A: Blueprint (recommended)</w:t>
      </w:r>
    </w:p>
    <w:p>
      <w:pPr>
        <w:numPr>
          <w:ilvl w:val="0"/>
          <w:numId w:val="1001"/>
        </w:numPr>
        <w:pStyle w:val="Compact"/>
      </w:pPr>
      <w:r>
        <w:t xml:space="preserve">Push all files to</w:t>
      </w:r>
      <w:r>
        <w:t xml:space="preserve"> </w:t>
      </w:r>
      <w:r>
        <w:rPr>
          <w:rStyle w:val="VerbatimChar"/>
        </w:rPr>
        <w:t xml:space="preserve">wyatt-lgtm/ad-launch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branch.</w:t>
      </w:r>
    </w:p>
    <w:p>
      <w:pPr>
        <w:numPr>
          <w:ilvl w:val="0"/>
          <w:numId w:val="1001"/>
        </w:numPr>
        <w:pStyle w:val="Compact"/>
      </w:pPr>
      <w:r>
        <w:t xml:space="preserve">Go to</w:t>
      </w:r>
      <w:r>
        <w:t xml:space="preserve"> </w:t>
      </w:r>
      <w:hyperlink r:id="rId22">
        <w:r>
          <w:rPr>
            <w:rStyle w:val="Hyperlink"/>
          </w:rPr>
          <w:t xml:space="preserve">Render Dashboard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Blueprint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Connect the</w:t>
      </w:r>
      <w:r>
        <w:t xml:space="preserve"> </w:t>
      </w:r>
      <w:r>
        <w:rPr>
          <w:rStyle w:val="VerbatimChar"/>
        </w:rPr>
        <w:t xml:space="preserve">wyatt-lgtm/ad-launch</w:t>
      </w:r>
      <w:r>
        <w:t xml:space="preserve"> </w:t>
      </w:r>
      <w:r>
        <w:t xml:space="preserve">repo.</w:t>
      </w:r>
    </w:p>
    <w:p>
      <w:pPr>
        <w:numPr>
          <w:ilvl w:val="0"/>
          <w:numId w:val="1001"/>
        </w:numPr>
        <w:pStyle w:val="Compact"/>
      </w:pPr>
      <w:r>
        <w:t xml:space="preserve">Render reads</w:t>
      </w:r>
      <w:r>
        <w:t xml:space="preserve"> </w:t>
      </w:r>
      <w:r>
        <w:rPr>
          <w:rStyle w:val="VerbatimChar"/>
        </w:rPr>
        <w:t xml:space="preserve">render.yaml</w:t>
      </w:r>
      <w:r>
        <w:t xml:space="preserve"> </w:t>
      </w:r>
      <w:r>
        <w:t xml:space="preserve">and creates the service.</w:t>
      </w:r>
    </w:p>
    <w:p>
      <w:pPr>
        <w:numPr>
          <w:ilvl w:val="0"/>
          <w:numId w:val="1001"/>
        </w:numPr>
        <w:pStyle w:val="Compact"/>
      </w:pPr>
      <w:r>
        <w:t xml:space="preserve">Go to the service’s</w:t>
      </w:r>
      <w:r>
        <w:t xml:space="preserve"> </w:t>
      </w:r>
      <w:r>
        <w:rPr>
          <w:bCs/>
          <w:b/>
        </w:rPr>
        <w:t xml:space="preserve">Environment</w:t>
      </w:r>
      <w:r>
        <w:t xml:space="preserve"> </w:t>
      </w:r>
      <w:r>
        <w:t xml:space="preserve">tab and fill in all</w:t>
      </w:r>
      <w:r>
        <w:t xml:space="preserve"> </w:t>
      </w:r>
      <w:r>
        <w:rPr>
          <w:rStyle w:val="VerbatimChar"/>
        </w:rPr>
        <w:t xml:space="preserve">sync: false</w:t>
      </w:r>
      <w:r>
        <w:t xml:space="preserve"> </w:t>
      </w:r>
      <w:r>
        <w:t xml:space="preserve">variables (see §3).</w:t>
      </w:r>
    </w:p>
    <w:p>
      <w:pPr>
        <w:numPr>
          <w:ilvl w:val="0"/>
          <w:numId w:val="1001"/>
        </w:numPr>
        <w:pStyle w:val="Compact"/>
      </w:pPr>
      <w:r>
        <w:t xml:space="preserve">Trigger a manual deploy or push a commit.</w:t>
      </w:r>
    </w:p>
    <w:bookmarkEnd w:id="23"/>
    <w:bookmarkStart w:id="24" w:name="option-b-manual-docker-service"/>
    <w:p>
      <w:pPr>
        <w:pStyle w:val="Heading3"/>
      </w:pPr>
      <w:r>
        <w:t xml:space="preserve">Option B: Manual Docker Service</w:t>
      </w:r>
    </w:p>
    <w:p>
      <w:pPr>
        <w:numPr>
          <w:ilvl w:val="0"/>
          <w:numId w:val="1002"/>
        </w:numPr>
        <w:pStyle w:val="Compact"/>
      </w:pPr>
      <w:r>
        <w:t xml:space="preserve">Render Dashboard →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Web Service</w:t>
      </w:r>
      <w:r>
        <w:t xml:space="preserve"> </w:t>
      </w:r>
      <w:r>
        <w:t xml:space="preserve">→ Docker.</w:t>
      </w:r>
    </w:p>
    <w:p>
      <w:pPr>
        <w:numPr>
          <w:ilvl w:val="0"/>
          <w:numId w:val="1002"/>
        </w:numPr>
        <w:pStyle w:val="Compact"/>
      </w:pPr>
      <w:r>
        <w:t xml:space="preserve">Connect the</w:t>
      </w:r>
      <w:r>
        <w:t xml:space="preserve"> </w:t>
      </w:r>
      <w:r>
        <w:rPr>
          <w:rStyle w:val="VerbatimChar"/>
        </w:rPr>
        <w:t xml:space="preserve">wyatt-lgtm/ad-launch</w:t>
      </w:r>
      <w:r>
        <w:t xml:space="preserve"> </w:t>
      </w:r>
      <w:r>
        <w:t xml:space="preserve">repo.</w:t>
      </w:r>
    </w:p>
    <w:p>
      <w:pPr>
        <w:numPr>
          <w:ilvl w:val="0"/>
          <w:numId w:val="1002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Dockerfile Path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./nextjs_space/Dockerfile</w:t>
      </w:r>
    </w:p>
    <w:p>
      <w:pPr>
        <w:numPr>
          <w:ilvl w:val="0"/>
          <w:numId w:val="1002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Docker Context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./nextjs_space</w:t>
      </w:r>
    </w:p>
    <w:p>
      <w:pPr>
        <w:numPr>
          <w:ilvl w:val="0"/>
          <w:numId w:val="1002"/>
        </w:numPr>
        <w:pStyle w:val="Compact"/>
      </w:pPr>
      <w:r>
        <w:t xml:space="preserve">Set environment variables (see §3).</w:t>
      </w:r>
    </w:p>
    <w:p>
      <w:pPr>
        <w:numPr>
          <w:ilvl w:val="0"/>
          <w:numId w:val="1002"/>
        </w:numPr>
        <w:pStyle w:val="Compact"/>
      </w:pPr>
      <w:r>
        <w:t xml:space="preserve">Deploy.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environment-variables"/>
    <w:p>
      <w:pPr>
        <w:pStyle w:val="Heading2"/>
      </w:pPr>
      <w:r>
        <w:t xml:space="preserve">3. Environment Variables</w:t>
      </w:r>
    </w:p>
    <w:p>
      <w:pPr>
        <w:pStyle w:val="FirstParagraph"/>
      </w:pPr>
      <w:r>
        <w:t xml:space="preserve">Copy values from the current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file. Key differences for Render: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Same Postgres URL</w:t>
            </w:r>
            <w:r>
              <w:t xml:space="preserve"> </w:t>
            </w:r>
            <w:r>
              <w:t xml:space="preserve">as current deployment. Both Render and Abacus will share the same DB.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NEXTAUTH_SECRET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Must match</w:t>
            </w:r>
            <w:r>
              <w:t xml:space="preserve"> </w:t>
            </w:r>
            <w:r>
              <w:t xml:space="preserve">the current value — existing sessions/tokens depend on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NEXTAUTH_URL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to your production URL, e.g. </w:t>
            </w:r>
            <w:r>
              <w:rPr>
                <w:rStyle w:val="VerbatimChar"/>
              </w:rPr>
              <w:t xml:space="preserve">https://connect.launchmarketing.com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TOMBSTONE_API_URL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https://tombstone-api-xjc4.onrender.com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AWS_ACCESS_KEY_ID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— the current deployment uses</w:t>
            </w:r>
            <w:r>
              <w:t xml:space="preserve"> </w:t>
            </w:r>
            <w:r>
              <w:rPr>
                <w:rStyle w:val="VerbatimChar"/>
              </w:rPr>
              <w:t xml:space="preserve">AWS_PROFILE</w:t>
            </w:r>
            <w:r>
              <w:t xml:space="preserve"> </w:t>
            </w:r>
            <w:r>
              <w:t xml:space="preserve">(IAM role). Render needs explicit credentials. Create an IAM user with S3 read/write access to your bucket.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AWS_SECRET_ACCESS_KEY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— see above.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current.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AWS_BUCKET_NAME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current.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AWS_FOLDER_PREFIX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current.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how-the-dockerfile-works"/>
    <w:p>
      <w:pPr>
        <w:pStyle w:val="Heading2"/>
      </w:pPr>
      <w:r>
        <w:t xml:space="preserve">4. How the Dockerfile Works</w:t>
      </w:r>
    </w:p>
    <w:p>
      <w:pPr>
        <w:pStyle w:val="SourceCode"/>
      </w:pPr>
      <w:r>
        <w:rPr>
          <w:rStyle w:val="VerbatimChar"/>
        </w:rPr>
        <w:t xml:space="preserve">Stage 1 (deps):     Install node_modules</w:t>
      </w:r>
      <w:r>
        <w:br/>
      </w:r>
      <w:r>
        <w:rPr>
          <w:rStyle w:val="VerbatimChar"/>
        </w:rPr>
        <w:t xml:space="preserve">Stage 2 (builder):  Fix Prisma schema paths → prisma generate → next build (standalone)</w:t>
      </w:r>
      <w:r>
        <w:br/>
      </w:r>
      <w:r>
        <w:rPr>
          <w:rStyle w:val="VerbatimChar"/>
        </w:rPr>
        <w:t xml:space="preserve">Stage 3 (runner):   Copy standalone output + Prisma client → node server.js</w:t>
      </w:r>
    </w:p>
    <w:p>
      <w:pPr>
        <w:pStyle w:val="FirstParagraph"/>
      </w:pPr>
      <w:r>
        <w:rPr>
          <w:bCs/>
          <w:b/>
        </w:rPr>
        <w:t xml:space="preserve">Key details:</w:t>
      </w:r>
      <w:r>
        <w:t xml:space="preserve"> </w:t>
      </w:r>
      <w:r>
        <w:t xml:space="preserve">- The Prisma schema has a hardcoded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path and</w:t>
      </w:r>
      <w:r>
        <w:t xml:space="preserve"> </w:t>
      </w:r>
      <w:r>
        <w:rPr>
          <w:rStyle w:val="VerbatimChar"/>
        </w:rPr>
        <w:t xml:space="preserve">binaryTargets</w:t>
      </w:r>
      <w:r>
        <w:t xml:space="preserve"> </w:t>
      </w:r>
      <w:r>
        <w:t xml:space="preserve">specific to the Abacus platform. The Dockerfile</w:t>
      </w:r>
      <w:r>
        <w:t xml:space="preserve"> </w:t>
      </w:r>
      <w:r>
        <w:rPr>
          <w:rStyle w:val="VerbatimChar"/>
        </w:rPr>
        <w:t xml:space="preserve">sed</w:t>
      </w:r>
      <w:r>
        <w:t xml:space="preserve">s these out during build:</w:t>
      </w:r>
      <w:r>
        <w:t xml:space="preserve"> </w:t>
      </w:r>
      <w:r>
        <w:t xml:space="preserve">- Removes the absolute</w:t>
      </w:r>
      <w:r>
        <w:t xml:space="preserve"> </w:t>
      </w:r>
      <w:r>
        <w:rPr>
          <w:rStyle w:val="VerbatimChar"/>
        </w:rPr>
        <w:t xml:space="preserve">output = "/home/ubuntu/..."</w:t>
      </w:r>
      <w:r>
        <w:t xml:space="preserve"> </w:t>
      </w:r>
      <w:r>
        <w:t xml:space="preserve">line (uses default</w:t>
      </w:r>
      <w:r>
        <w:t xml:space="preserve"> </w:t>
      </w:r>
      <w:r>
        <w:rPr>
          <w:rStyle w:val="VerbatimChar"/>
        </w:rPr>
        <w:t xml:space="preserve">node_modules/.prisma/client</w:t>
      </w:r>
      <w:r>
        <w:t xml:space="preserve">)</w:t>
      </w:r>
      <w:r>
        <w:t xml:space="preserve"> </w:t>
      </w:r>
      <w:r>
        <w:t xml:space="preserve">- Replaces</w:t>
      </w:r>
      <w:r>
        <w:t xml:space="preserve"> </w:t>
      </w:r>
      <w:r>
        <w:rPr>
          <w:rStyle w:val="VerbatimChar"/>
        </w:rPr>
        <w:t xml:space="preserve">binaryTargets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["native", "debian-openssl-3.0.x"]</w:t>
      </w:r>
      <w:r>
        <w:t xml:space="preserve"> </w:t>
      </w:r>
      <w:r>
        <w:t xml:space="preserve">for the Docker runtime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NEXT_OUTPUT_MODE=standalone</w:t>
      </w:r>
      <w:r>
        <w:t xml:space="preserve"> </w:t>
      </w:r>
      <w:r>
        <w:t xml:space="preserve">is set at build time so Next.js produces a self-contained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.yarnrc.yml</w:t>
      </w:r>
      <w:r>
        <w:t xml:space="preserve"> </w:t>
      </w:r>
      <w:r>
        <w:t xml:space="preserve">is overridden to remove platform-specific global cache paths</w:t>
      </w:r>
    </w:p>
    <w:p>
      <w:r>
        <w:pict>
          <v:rect style="width:0;height:1.5pt" o:hralign="center" o:hrstd="t" o:hr="t"/>
        </w:pict>
      </w:r>
    </w:p>
    <w:bookmarkEnd w:id="27"/>
    <w:bookmarkStart w:id="32" w:name="known-migration-items"/>
    <w:p>
      <w:pPr>
        <w:pStyle w:val="Heading2"/>
      </w:pPr>
      <w:r>
        <w:t xml:space="preserve">5. Known Migration Items</w:t>
      </w:r>
    </w:p>
    <w:bookmarkStart w:id="28" w:name="a.-email-notifications-abacus-specific"/>
    <w:p>
      <w:pPr>
        <w:pStyle w:val="Heading3"/>
      </w:pPr>
      <w:r>
        <w:t xml:space="preserve">5a. Email Notifications (Abacus-specific)</w:t>
      </w:r>
    </w:p>
    <w:p>
      <w:pPr>
        <w:pStyle w:val="FirstParagraph"/>
      </w:pPr>
      <w:r>
        <w:t xml:space="preserve">The app currently sends emails via the</w:t>
      </w:r>
      <w:r>
        <w:t xml:space="preserve"> </w:t>
      </w:r>
      <w:r>
        <w:rPr>
          <w:bCs/>
          <w:b/>
        </w:rPr>
        <w:t xml:space="preserve">Abacus AI notification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sendNotificationEmail</w:t>
      </w:r>
      <w:r>
        <w:t xml:space="preserve">). This API uses platform-specific notification IDs (</w:t>
      </w:r>
      <w:r>
        <w:rPr>
          <w:rStyle w:val="VerbatimChar"/>
        </w:rPr>
        <w:t xml:space="preserve">NOTIF_ID_*</w:t>
      </w:r>
      <w:r>
        <w:t xml:space="preserve">) and the</w:t>
      </w:r>
      <w:r>
        <w:t xml:space="preserve"> </w:t>
      </w:r>
      <w:r>
        <w:rPr>
          <w:rStyle w:val="VerbatimChar"/>
        </w:rPr>
        <w:t xml:space="preserve">WEB_APP_ID</w:t>
      </w:r>
      <w:r>
        <w:t xml:space="preserve">. These</w:t>
      </w:r>
      <w:r>
        <w:t xml:space="preserve"> </w:t>
      </w:r>
      <w:r>
        <w:rPr>
          <w:bCs/>
          <w:b/>
        </w:rPr>
        <w:t xml:space="preserve">will not work</w:t>
      </w:r>
      <w:r>
        <w:t xml:space="preserve"> </w:t>
      </w:r>
      <w:r>
        <w:t xml:space="preserve">when running outside Abacus.</w:t>
      </w:r>
    </w:p>
    <w:p>
      <w:pPr>
        <w:pStyle w:val="BodyText"/>
      </w:pPr>
      <w:r>
        <w:rPr>
          <w:bCs/>
          <w:b/>
        </w:rPr>
        <w:t xml:space="preserve">Affected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app/api/register/route.ts</w:t>
      </w:r>
      <w:r>
        <w:t xml:space="preserve"> </w:t>
      </w:r>
      <w:r>
        <w:t xml:space="preserve">— signup confirmation email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app/api/auth/forgot-password/route.ts</w:t>
      </w:r>
      <w:r>
        <w:t xml:space="preserve"> </w:t>
      </w:r>
      <w:r>
        <w:t xml:space="preserve">— password reset email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lib/scout-email.ts</w:t>
      </w:r>
      <w:r>
        <w:t xml:space="preserve"> </w:t>
      </w:r>
      <w:r>
        <w:t xml:space="preserve">— daily scout report emails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app/api/scout/completion-check/route.ts</w:t>
      </w:r>
      <w:r>
        <w:t xml:space="preserve"> </w:t>
      </w:r>
      <w:r>
        <w:t xml:space="preserve">— post-ready notification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app/api/scout/daily-run/route.ts</w:t>
      </w:r>
      <w:r>
        <w:t xml:space="preserve"> </w:t>
      </w:r>
      <w:r>
        <w:t xml:space="preserve">— daily scout trigger</w:t>
      </w:r>
    </w:p>
    <w:p>
      <w:pPr>
        <w:pStyle w:val="BodyText"/>
      </w:pPr>
      <w:r>
        <w:rPr>
          <w:bCs/>
          <w:b/>
        </w:rPr>
        <w:t xml:space="preserve">Migration options: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SendGrid / Resend / AWS SES</w:t>
      </w:r>
      <w:r>
        <w:t xml:space="preserve"> </w:t>
      </w:r>
      <w:r>
        <w:t xml:space="preserve">— Replace</w:t>
      </w:r>
      <w:r>
        <w:t xml:space="preserve"> </w:t>
      </w:r>
      <w:r>
        <w:rPr>
          <w:rStyle w:val="VerbatimChar"/>
        </w:rPr>
        <w:t xml:space="preserve">sendNotificationEmail()</w:t>
      </w:r>
      <w:r>
        <w:t xml:space="preserve"> </w:t>
      </w:r>
      <w:r>
        <w:t xml:space="preserve">calls with a third-party email provider.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Keep Abacus for email only</w:t>
      </w:r>
      <w:r>
        <w:t xml:space="preserve"> </w:t>
      </w:r>
      <w:r>
        <w:t xml:space="preserve">— Run the Abacus deployment alongside Render just for email routing. The</w:t>
      </w:r>
      <w:r>
        <w:t xml:space="preserve"> </w:t>
      </w:r>
      <w:r>
        <w:rPr>
          <w:rStyle w:val="VerbatimChar"/>
        </w:rPr>
        <w:t xml:space="preserve">NOTIF_ID_*</w:t>
      </w:r>
      <w:r>
        <w:t xml:space="preserve"> </w:t>
      </w:r>
      <w:r>
        <w:t xml:space="preserve">values will still work if</w:t>
      </w:r>
      <w:r>
        <w:t xml:space="preserve"> </w:t>
      </w:r>
      <w:r>
        <w:rPr>
          <w:rStyle w:val="VerbatimChar"/>
        </w:rPr>
        <w:t xml:space="preserve">WEB_APP_ID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ABACUSAI_API_KEY</w:t>
      </w:r>
      <w:r>
        <w:t xml:space="preserve"> </w:t>
      </w:r>
      <w:r>
        <w:t xml:space="preserve">are set.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Disable emails temporarily</w:t>
      </w:r>
      <w:r>
        <w:t xml:space="preserve"> </w:t>
      </w:r>
      <w:r>
        <w:t xml:space="preserve">— The app will function without email; users just won’t receive confirmation/reset emails.</w:t>
      </w:r>
    </w:p>
    <w:bookmarkEnd w:id="28"/>
    <w:bookmarkStart w:id="29" w:name="b.-custom-domain-dns"/>
    <w:p>
      <w:pPr>
        <w:pStyle w:val="Heading3"/>
      </w:pPr>
      <w:r>
        <w:t xml:space="preserve">5b. Custom Domain DNS</w:t>
      </w:r>
    </w:p>
    <w:p>
      <w:pPr>
        <w:pStyle w:val="FirstParagraph"/>
      </w:pPr>
      <w:r>
        <w:t xml:space="preserve">If moving</w:t>
      </w:r>
      <w:r>
        <w:t xml:space="preserve"> </w:t>
      </w:r>
      <w:r>
        <w:rPr>
          <w:rStyle w:val="VerbatimChar"/>
        </w:rPr>
        <w:t xml:space="preserve">connect.launchmarketing.com</w:t>
      </w:r>
      <w:r>
        <w:t xml:space="preserve"> </w:t>
      </w:r>
      <w:r>
        <w:t xml:space="preserve">to Render:</w:t>
      </w:r>
      <w:r>
        <w:t xml:space="preserve"> </w:t>
      </w:r>
      <w:r>
        <w:t xml:space="preserve">1. Add the custom domain in Render’s service settings.</w:t>
      </w:r>
      <w:r>
        <w:t xml:space="preserve"> </w:t>
      </w:r>
      <w:r>
        <w:t xml:space="preserve">2. Update DNS to point to Render’s load balancer (CNAME or A record).</w:t>
      </w:r>
      <w:r>
        <w:t xml:space="preserve"> </w:t>
      </w:r>
      <w:r>
        <w:t xml:space="preserve">3. Render handles TLS automatically.</w:t>
      </w:r>
      <w:r>
        <w:t xml:space="preserve"> </w:t>
      </w:r>
      <w:r>
        <w:t xml:space="preserve">4. Remove the domain from the Abacus deployment.</w:t>
      </w:r>
    </w:p>
    <w:p>
      <w:pPr>
        <w:pStyle w:val="Body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Don’t change DNS until you’ve verified the Render deployment works.</w:t>
      </w:r>
    </w:p>
    <w:bookmarkEnd w:id="29"/>
    <w:bookmarkStart w:id="30" w:name="c.-health-check"/>
    <w:p>
      <w:pPr>
        <w:pStyle w:val="Heading3"/>
      </w:pPr>
      <w:r>
        <w:t xml:space="preserve">5c. Health Check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render.yaml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/api/auth/providers</w:t>
      </w:r>
      <w:r>
        <w:t xml:space="preserve"> </w:t>
      </w:r>
      <w:r>
        <w:t xml:space="preserve">as the health check path (returns 200 with JSON). Adjust if needed.</w:t>
      </w:r>
    </w:p>
    <w:bookmarkEnd w:id="30"/>
    <w:bookmarkStart w:id="31" w:name="d.-prisma-migrations"/>
    <w:p>
      <w:pPr>
        <w:pStyle w:val="Heading3"/>
      </w:pPr>
      <w:r>
        <w:t xml:space="preserve">5d. Prisma Migrations</w:t>
      </w:r>
    </w:p>
    <w:p>
      <w:pPr>
        <w:pStyle w:val="FirstParagraph"/>
      </w:pPr>
      <w:r>
        <w:t xml:space="preserve">When you add new Prisma schema fields in the future:</w:t>
      </w:r>
      <w:r>
        <w:t xml:space="preserve"> </w:t>
      </w:r>
      <w:r>
        <w:t xml:space="preserve">- Run</w:t>
      </w:r>
      <w:r>
        <w:t xml:space="preserve"> </w:t>
      </w:r>
      <w:r>
        <w:rPr>
          <w:rStyle w:val="VerbatimChar"/>
        </w:rPr>
        <w:t xml:space="preserve">npx prisma db push</w:t>
      </w:r>
      <w:r>
        <w:t xml:space="preserve"> </w:t>
      </w:r>
      <w:r>
        <w:t xml:space="preserve">from your local machine (or a Render shell) against the production DATABASE_URL.</w:t>
      </w:r>
      <w:r>
        <w:t xml:space="preserve"> </w:t>
      </w:r>
      <w:r>
        <w:t xml:space="preserve">- The Dockerfile runs</w:t>
      </w:r>
      <w:r>
        <w:t xml:space="preserve"> </w:t>
      </w:r>
      <w:r>
        <w:rPr>
          <w:rStyle w:val="VerbatimChar"/>
        </w:rPr>
        <w:t xml:space="preserve">prisma generate</w:t>
      </w:r>
      <w:r>
        <w:t xml:space="preserve"> </w:t>
      </w:r>
      <w:r>
        <w:t xml:space="preserve">at build time but does NOT run migrations/push.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ual-deployment-period"/>
    <w:p>
      <w:pPr>
        <w:pStyle w:val="Heading2"/>
      </w:pPr>
      <w:r>
        <w:t xml:space="preserve">6. Dual-Deployment Period</w:t>
      </w:r>
    </w:p>
    <w:p>
      <w:pPr>
        <w:pStyle w:val="FirstParagraph"/>
      </w:pPr>
      <w:r>
        <w:t xml:space="preserve">During migration, you can run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the Abacus and Render deployments simultaneously:</w:t>
      </w:r>
      <w:r>
        <w:t xml:space="preserve"> </w:t>
      </w:r>
      <w:r>
        <w:t xml:space="preserve">- They share the same database, so data is consistent.</w:t>
      </w:r>
      <w:r>
        <w:t xml:space="preserve"> </w:t>
      </w:r>
      <w:r>
        <w:t xml:space="preserve">- Use Abacus for the existing</w:t>
      </w:r>
      <w:r>
        <w:t xml:space="preserve"> </w:t>
      </w:r>
      <w:r>
        <w:rPr>
          <w:rStyle w:val="VerbatimChar"/>
        </w:rPr>
        <w:t xml:space="preserve">ad-launch-1nfyr8.abacusai.app</w:t>
      </w:r>
      <w:r>
        <w:t xml:space="preserve"> </w:t>
      </w:r>
      <w:r>
        <w:t xml:space="preserve">URL.</w:t>
      </w:r>
      <w:r>
        <w:t xml:space="preserve"> </w:t>
      </w:r>
      <w:r>
        <w:t xml:space="preserve">- Use Render for</w:t>
      </w:r>
      <w:r>
        <w:t xml:space="preserve"> </w:t>
      </w:r>
      <w:r>
        <w:rPr>
          <w:rStyle w:val="VerbatimChar"/>
        </w:rPr>
        <w:t xml:space="preserve">connect.launchmarketing.com</w:t>
      </w:r>
      <w:r>
        <w:t xml:space="preserve"> </w:t>
      </w:r>
      <w:r>
        <w:t xml:space="preserve">(after DNS switch).</w:t>
      </w:r>
      <w:r>
        <w:t xml:space="preserve"> </w:t>
      </w:r>
      <w:r>
        <w:t xml:space="preserve">- Once Render is stable, decommission the Abacus deployment.</w:t>
      </w:r>
    </w:p>
    <w:p>
      <w:r>
        <w:pict>
          <v:rect style="width:0;height:1.5pt" o:hralign="center" o:hrstd="t" o:hr="t"/>
        </w:pict>
      </w:r>
    </w:p>
    <w:bookmarkEnd w:id="33"/>
    <w:bookmarkStart w:id="34" w:name="render-plan-sizing"/>
    <w:p>
      <w:pPr>
        <w:pStyle w:val="Heading2"/>
      </w:pPr>
      <w:r>
        <w:t xml:space="preserve">7. Render Plan Sizing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for low traffic; may cold-start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for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you see memory pressure</w:t>
            </w:r>
          </w:p>
        </w:tc>
      </w:tr>
    </w:tbl>
    <w:p>
      <w:pPr>
        <w:pStyle w:val="BodyText"/>
      </w:pPr>
      <w:r>
        <w:t xml:space="preserve">The standalone Next.js server typically uses 150-300 MB at idle.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dashboard.render.com/" TargetMode="External" /><Relationship Type="http://schemas.openxmlformats.org/officeDocument/2006/relationships/hyperlink" Id="rId20" Target="https://render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ashboard.render.com/" TargetMode="External" /><Relationship Type="http://schemas.openxmlformats.org/officeDocument/2006/relationships/hyperlink" Id="rId20" Target="https://render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2026-06-14T00:26:13Z</dcterms:created>
  <dcterms:modified xsi:type="dcterms:W3CDTF">2026-06-14T00:26:13Z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