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Internal Documentation</w:t>
      </w:r>
    </w:p>
    <w:p>
      <w:pPr>
        <w:spacing w:after="40"/>
        <w:jc w:val="center"/>
      </w:pPr>
      <w:r>
        <w:rPr>
          <w:color w:val="1A4F8B"/>
          <w:sz w:val="26"/>
          <w:szCs w:val="26"/>
        </w:rPr>
        <w:t xml:space="preserve">Water Tank Calculator - Graphical Version</w:t>
      </w:r>
    </w:p>
    <w:p>
      <w:pPr>
        <w:spacing w:after="300"/>
        <w:jc w:val="center"/>
      </w:pPr>
      <w:r>
        <w:rPr>
          <w:i/>
          <w:iCs/>
          <w:color w:val="666666"/>
          <w:sz w:val="20"/>
          <w:szCs w:val="20"/>
        </w:rPr>
        <w:t xml:space="preserve">tank_gui.py  |  Version 2.0  |  Python 3 / tkinter</w:t>
      </w:r>
    </w:p>
    <w:p>
      <w:pPr>
        <w:pStyle w:val="Heading1"/>
        <w:spacing w:after="140" w:before="260"/>
      </w:pPr>
      <w:r>
        <w:rPr>
          <w:b/>
          <w:bCs/>
          <w:color w:val="1A4F8B"/>
          <w:sz w:val="27"/>
          <w:szCs w:val="27"/>
        </w:rPr>
        <w:t xml:space="preserve">1. Purpose</w:t>
      </w:r>
    </w:p>
    <w:p>
      <w:pPr>
        <w:spacing w:after="140"/>
      </w:pPr>
      <w:r>
        <w:rPr>
          <w:sz w:val="22"/>
          <w:szCs w:val="22"/>
        </w:rPr>
        <w:t xml:space="preserve">This program calculates the capacity and paintable surface area of an upright cylindrical water tank (a right circular cylinder). The user supplies only two values, the height and the radius of the tank in feet, and the program reports six results.</w:t>
      </w:r>
    </w:p>
    <w:p>
      <w:pPr>
        <w:spacing w:after="140"/>
      </w:pPr>
      <w:r>
        <w:rPr>
          <w:sz w:val="22"/>
          <w:szCs w:val="22"/>
        </w:rPr>
        <w:t xml:space="preserve">The six outputs are:</w:t>
      </w:r>
    </w:p>
    <w:p>
      <w:pPr>
        <w:pStyle w:val="ListParagraph"/>
        <w:numPr>
          <w:ilvl w:val="0"/>
          <w:numId w:val="1"/>
        </w:numPr>
        <w:spacing w:after="80"/>
      </w:pPr>
      <w:r>
        <w:rPr>
          <w:sz w:val="22"/>
          <w:szCs w:val="22"/>
        </w:rPr>
        <w:t xml:space="preserve">Total volume in cubic feet</w:t>
      </w:r>
    </w:p>
    <w:p>
      <w:pPr>
        <w:pStyle w:val="ListParagraph"/>
        <w:numPr>
          <w:ilvl w:val="0"/>
          <w:numId w:val="1"/>
        </w:numPr>
        <w:spacing w:after="80"/>
      </w:pPr>
      <w:r>
        <w:rPr>
          <w:sz w:val="22"/>
          <w:szCs w:val="22"/>
        </w:rPr>
        <w:t xml:space="preserve">Total volume in US gallons</w:t>
      </w:r>
    </w:p>
    <w:p>
      <w:pPr>
        <w:pStyle w:val="ListParagraph"/>
        <w:numPr>
          <w:ilvl w:val="0"/>
          <w:numId w:val="1"/>
        </w:numPr>
        <w:spacing w:after="80"/>
      </w:pPr>
      <w:r>
        <w:rPr>
          <w:sz w:val="22"/>
          <w:szCs w:val="22"/>
        </w:rPr>
        <w:t xml:space="preserve">Total weight of the water in pounds, when the tank is full</w:t>
      </w:r>
    </w:p>
    <w:p>
      <w:pPr>
        <w:pStyle w:val="ListParagraph"/>
        <w:numPr>
          <w:ilvl w:val="0"/>
          <w:numId w:val="1"/>
        </w:numPr>
        <w:spacing w:after="80"/>
      </w:pPr>
      <w:r>
        <w:rPr>
          <w:sz w:val="22"/>
          <w:szCs w:val="22"/>
        </w:rPr>
        <w:t xml:space="preserve">Surface area of the top of the tank, in square feet</w:t>
      </w:r>
    </w:p>
    <w:p>
      <w:pPr>
        <w:pStyle w:val="ListParagraph"/>
        <w:numPr>
          <w:ilvl w:val="0"/>
          <w:numId w:val="1"/>
        </w:numPr>
        <w:spacing w:after="80"/>
      </w:pPr>
      <w:r>
        <w:rPr>
          <w:sz w:val="22"/>
          <w:szCs w:val="22"/>
        </w:rPr>
        <w:t xml:space="preserve">Surface area of the outside wall of the tank, in square feet</w:t>
      </w:r>
    </w:p>
    <w:p>
      <w:pPr>
        <w:pStyle w:val="ListParagraph"/>
        <w:numPr>
          <w:ilvl w:val="0"/>
          <w:numId w:val="1"/>
        </w:numPr>
        <w:spacing w:after="80"/>
      </w:pPr>
      <w:r>
        <w:rPr>
          <w:sz w:val="22"/>
          <w:szCs w:val="22"/>
        </w:rPr>
        <w:t xml:space="preserve">Total area to be painted (top plus outside wall), in square feet</w:t>
      </w:r>
    </w:p>
    <w:p>
      <w:pPr>
        <w:spacing w:after="140"/>
      </w:pPr>
      <w:r>
        <w:rPr>
          <w:sz w:val="22"/>
          <w:szCs w:val="22"/>
        </w:rPr>
        <w:t xml:space="preserve">Version 2.0 adds a graphical interface built with tkinter. The user can change the color scheme and the window size, including full screen, at any time while the program is running.</w:t>
      </w:r>
    </w:p>
    <w:p>
      <w:pPr>
        <w:pStyle w:val="Heading1"/>
        <w:spacing w:after="140" w:before="260"/>
      </w:pPr>
      <w:r>
        <w:rPr>
          <w:b/>
          <w:bCs/>
          <w:color w:val="1A4F8B"/>
          <w:sz w:val="27"/>
          <w:szCs w:val="27"/>
        </w:rPr>
        <w:t xml:space="preserve">2. Running the Program</w:t>
      </w:r>
    </w:p>
    <w:p>
      <w:pPr>
        <w:spacing w:after="140"/>
      </w:pPr>
      <w:r>
        <w:rPr>
          <w:sz w:val="22"/>
          <w:szCs w:val="22"/>
        </w:rPr>
        <w:t xml:space="preserve">The program requires Python 3 and tkinter, which ships with the standard Windows and macOS installers of Python. No other libraries are needed. From a command prompt in the folder containing the file, run:</w:t>
      </w:r>
    </w:p>
    <w:p>
      <w:pPr>
        <w:spacing w:after="100"/>
        <w:ind w:left="360"/>
      </w:pPr>
      <w:r>
        <w:rPr>
          <w:rFonts w:ascii="Consolas" w:cs="Consolas" w:eastAsia="Consolas" w:hAnsi="Consolas"/>
          <w:sz w:val="20"/>
          <w:szCs w:val="20"/>
        </w:rPr>
        <w:t xml:space="preserve">python tank_gui.py</w:t>
      </w:r>
    </w:p>
    <w:p>
      <w:pPr>
        <w:spacing w:after="140"/>
      </w:pPr>
      <w:r>
        <w:rPr>
          <w:sz w:val="22"/>
          <w:szCs w:val="22"/>
        </w:rPr>
        <w:t xml:space="preserve">The window opens at the medium size in the Light color scheme, with the cursor already placed in the Height box.</w:t>
      </w:r>
    </w:p>
    <w:p>
      <w:pPr>
        <w:pStyle w:val="Heading1"/>
        <w:spacing w:after="140" w:before="260"/>
      </w:pPr>
      <w:r>
        <w:rPr>
          <w:b/>
          <w:bCs/>
          <w:color w:val="1A4F8B"/>
          <w:sz w:val="27"/>
          <w:szCs w:val="27"/>
        </w:rPr>
        <w:t xml:space="preserve">3. Program Structure</w:t>
      </w:r>
    </w:p>
    <w:p>
      <w:pPr>
        <w:spacing w:after="140"/>
      </w:pPr>
      <w:r>
        <w:rPr>
          <w:sz w:val="22"/>
          <w:szCs w:val="22"/>
        </w:rPr>
        <w:t xml:space="preserve">The program is built from two classes with a deliberate division of responsibility between them.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7360"/>
      </w:tblGrid>
      <w:tr>
        <w:trPr>
          <w:tblHeader/>
        </w:trPr>
        <w:tc>
          <w:tcPr>
            <w:tcW w:type="dxa" w:w="2000"/>
            <w:shd w:fill="E8EEF5" w:val="clear"/>
            <w:tcMar>
              <w:top w:type="dxa" w:w="80"/>
              <w:left w:type="dxa" w:w="110"/>
              <w:bottom w:type="dxa" w:w="80"/>
              <w:right w:type="dxa" w:w="110"/>
            </w:tcMar>
          </w:tcPr>
          <w:p>
            <w:r>
              <w:rPr>
                <w:b/>
                <w:bCs/>
                <w:sz w:val="19"/>
                <w:szCs w:val="19"/>
              </w:rPr>
              <w:t xml:space="preserve">Class</w:t>
            </w:r>
          </w:p>
        </w:tc>
        <w:tc>
          <w:tcPr>
            <w:tcW w:type="dxa" w:w="7360"/>
            <w:shd w:fill="E8EEF5" w:val="clear"/>
            <w:tcMar>
              <w:top w:type="dxa" w:w="80"/>
              <w:left w:type="dxa" w:w="110"/>
              <w:bottom w:type="dxa" w:w="80"/>
              <w:right w:type="dxa" w:w="110"/>
            </w:tcMar>
          </w:tcPr>
          <w:p>
            <w:r>
              <w:rPr>
                <w:b/>
                <w:bCs/>
                <w:sz w:val="19"/>
                <w:szCs w:val="19"/>
              </w:rPr>
              <w:t xml:space="preserve">Responsibility</w:t>
            </w:r>
          </w:p>
        </w:tc>
      </w:tr>
      <w:tr>
        <w:trPr>
          <w:tblHeader w:val="false"/>
        </w:trPr>
        <w:tc>
          <w:tcPr>
            <w:tcW w:type="dxa" w:w="2000"/>
            <w:tcMar>
              <w:top w:type="dxa" w:w="80"/>
              <w:left w:type="dxa" w:w="110"/>
              <w:bottom w:type="dxa" w:w="80"/>
              <w:right w:type="dxa" w:w="110"/>
            </w:tcMar>
          </w:tcPr>
          <w:p>
            <w:r>
              <w:rPr>
                <w:rFonts w:ascii="Consolas" w:cs="Consolas" w:eastAsia="Consolas" w:hAnsi="Consolas"/>
                <w:b w:val="false"/>
                <w:bCs w:val="false"/>
                <w:sz w:val="19"/>
                <w:szCs w:val="19"/>
              </w:rPr>
              <w:t xml:space="preserve">Tank</w:t>
            </w:r>
          </w:p>
        </w:tc>
        <w:tc>
          <w:tcPr>
            <w:tcW w:type="dxa" w:w="7360"/>
            <w:tcMar>
              <w:top w:type="dxa" w:w="80"/>
              <w:left w:type="dxa" w:w="110"/>
              <w:bottom w:type="dxa" w:w="80"/>
              <w:right w:type="dxa" w:w="110"/>
            </w:tcMar>
          </w:tcPr>
          <w:p>
            <w:r>
              <w:rPr>
                <w:b w:val="false"/>
                <w:bCs w:val="false"/>
                <w:sz w:val="19"/>
                <w:szCs w:val="19"/>
              </w:rPr>
              <w:t xml:space="preserve">Stores the tank's dimensions and performs all of the mathematics. Contains no interface code of any kind.</w:t>
            </w:r>
          </w:p>
        </w:tc>
      </w:tr>
      <w:tr>
        <w:trPr>
          <w:tblHeader w:val="false"/>
        </w:trPr>
        <w:tc>
          <w:tcPr>
            <w:tcW w:type="dxa" w:w="2000"/>
            <w:tcMar>
              <w:top w:type="dxa" w:w="80"/>
              <w:left w:type="dxa" w:w="110"/>
              <w:bottom w:type="dxa" w:w="80"/>
              <w:right w:type="dxa" w:w="110"/>
            </w:tcMar>
          </w:tcPr>
          <w:p>
            <w:r>
              <w:rPr>
                <w:rFonts w:ascii="Consolas" w:cs="Consolas" w:eastAsia="Consolas" w:hAnsi="Consolas"/>
                <w:b w:val="false"/>
                <w:bCs w:val="false"/>
                <w:sz w:val="19"/>
                <w:szCs w:val="19"/>
              </w:rPr>
              <w:t xml:space="preserve">TankApp</w:t>
            </w:r>
          </w:p>
        </w:tc>
        <w:tc>
          <w:tcPr>
            <w:tcW w:type="dxa" w:w="7360"/>
            <w:tcMar>
              <w:top w:type="dxa" w:w="80"/>
              <w:left w:type="dxa" w:w="110"/>
              <w:bottom w:type="dxa" w:w="80"/>
              <w:right w:type="dxa" w:w="110"/>
            </w:tcMar>
          </w:tcPr>
          <w:p>
            <w:r>
              <w:rPr>
                <w:b w:val="false"/>
                <w:bCs w:val="false"/>
                <w:sz w:val="19"/>
                <w:szCs w:val="19"/>
              </w:rPr>
              <w:t xml:space="preserve">Builds and operates the tkinter window: the input boxes, buttons, results panel, menus, color schemes, and window sizes. Performs no mathematics of its own.</w:t>
            </w:r>
          </w:p>
        </w:tc>
      </w:tr>
    </w:tbl>
    <w:p>
      <w:pPr>
        <w:spacing w:after="140"/>
      </w:pPr>
    </w:p>
    <w:p>
      <w:pPr>
        <w:spacing w:after="140"/>
      </w:pPr>
      <w:r>
        <w:rPr>
          <w:sz w:val="22"/>
          <w:szCs w:val="22"/>
        </w:rPr>
        <w:t xml:space="preserve">This separation is the single most important design decision in the program. Because the Tank class knows nothing about tkinter, the exact same class powers the original console version of this program without one line being changed, and it could equally well be reused by a web application or an automated test. If the interface were ever replaced entirely, the mathematics would survive untouched.</w:t>
      </w:r>
    </w:p>
    <w:p>
      <w:pPr>
        <w:pStyle w:val="Heading1"/>
        <w:spacing w:after="140" w:before="260"/>
      </w:pPr>
      <w:r>
        <w:rPr>
          <w:b/>
          <w:bCs/>
          <w:color w:val="1A4F8B"/>
          <w:sz w:val="27"/>
          <w:szCs w:val="27"/>
        </w:rPr>
        <w:t xml:space="preserve">4. The Tank Class</w:t>
      </w:r>
    </w:p>
    <w:p>
      <w:pPr>
        <w:spacing w:after="140"/>
      </w:pPr>
      <w:r>
        <w:rPr>
          <w:sz w:val="22"/>
          <w:szCs w:val="22"/>
        </w:rPr>
        <w:t xml:space="preserve">A Tank object stores only what the user actually supplies: the height and the radius, both in feet. Every other value is calculated on demand by a method rather than stored as an attribute. This guarantees that a result can never fall out of step with the dimensions it came from.</w:t>
      </w:r>
    </w:p>
    <w:p>
      <w:pPr>
        <w:pStyle w:val="Heading2"/>
        <w:spacing w:after="100" w:before="180"/>
      </w:pPr>
      <w:r>
        <w:rPr>
          <w:b/>
          <w:bCs/>
          <w:color w:val="2E2E2E"/>
          <w:sz w:val="23"/>
          <w:szCs w:val="23"/>
        </w:rPr>
        <w:t xml:space="preserve">4.1 Attributes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1400"/>
        <w:gridCol w:w="5760"/>
      </w:tblGrid>
      <w:tr>
        <w:trPr>
          <w:tblHeader/>
        </w:trPr>
        <w:tc>
          <w:tcPr>
            <w:tcW w:type="dxa" w:w="2200"/>
            <w:shd w:fill="E8EEF5" w:val="clear"/>
            <w:tcMar>
              <w:top w:type="dxa" w:w="80"/>
              <w:left w:type="dxa" w:w="110"/>
              <w:bottom w:type="dxa" w:w="80"/>
              <w:right w:type="dxa" w:w="110"/>
            </w:tcMar>
          </w:tcPr>
          <w:p>
            <w:r>
              <w:rPr>
                <w:b/>
                <w:bCs/>
                <w:sz w:val="19"/>
                <w:szCs w:val="19"/>
              </w:rPr>
              <w:t xml:space="preserve">Attribute</w:t>
            </w:r>
          </w:p>
        </w:tc>
        <w:tc>
          <w:tcPr>
            <w:tcW w:type="dxa" w:w="1400"/>
            <w:shd w:fill="E8EEF5" w:val="clear"/>
            <w:tcMar>
              <w:top w:type="dxa" w:w="80"/>
              <w:left w:type="dxa" w:w="110"/>
              <w:bottom w:type="dxa" w:w="80"/>
              <w:right w:type="dxa" w:w="110"/>
            </w:tcMar>
          </w:tcPr>
          <w:p>
            <w:r>
              <w:rPr>
                <w:b/>
                <w:bCs/>
                <w:sz w:val="19"/>
                <w:szCs w:val="19"/>
              </w:rPr>
              <w:t xml:space="preserve">Type</w:t>
            </w:r>
          </w:p>
        </w:tc>
        <w:tc>
          <w:tcPr>
            <w:tcW w:type="dxa" w:w="5760"/>
            <w:shd w:fill="E8EEF5" w:val="clear"/>
            <w:tcMar>
              <w:top w:type="dxa" w:w="80"/>
              <w:left w:type="dxa" w:w="110"/>
              <w:bottom w:type="dxa" w:w="80"/>
              <w:right w:type="dxa" w:w="110"/>
            </w:tcMar>
          </w:tcPr>
          <w:p>
            <w:r>
              <w:rPr>
                <w:b/>
                <w:bCs/>
                <w:sz w:val="19"/>
                <w:szCs w:val="19"/>
              </w:rPr>
              <w:t xml:space="preserve">Description</w:t>
            </w:r>
          </w:p>
        </w:tc>
      </w:tr>
      <w:tr>
        <w:trPr>
          <w:tblHeader w:val="false"/>
        </w:trPr>
        <w:tc>
          <w:tcPr>
            <w:tcW w:type="dxa" w:w="2200"/>
            <w:tcMar>
              <w:top w:type="dxa" w:w="80"/>
              <w:left w:type="dxa" w:w="110"/>
              <w:bottom w:type="dxa" w:w="80"/>
              <w:right w:type="dxa" w:w="110"/>
            </w:tcMar>
          </w:tcPr>
          <w:p>
            <w:r>
              <w:rPr>
                <w:rFonts w:ascii="Consolas" w:cs="Consolas" w:eastAsia="Consolas" w:hAnsi="Consolas"/>
                <w:b w:val="false"/>
                <w:bCs w:val="false"/>
                <w:sz w:val="19"/>
                <w:szCs w:val="19"/>
              </w:rPr>
              <w:t xml:space="preserve">height</w:t>
            </w:r>
          </w:p>
        </w:tc>
        <w:tc>
          <w:tcPr>
            <w:tcW w:type="dxa" w:w="1400"/>
            <w:tcMar>
              <w:top w:type="dxa" w:w="80"/>
              <w:left w:type="dxa" w:w="110"/>
              <w:bottom w:type="dxa" w:w="80"/>
              <w:right w:type="dxa" w:w="110"/>
            </w:tcMar>
          </w:tcPr>
          <w:p>
            <w:r>
              <w:rPr>
                <w:rFonts w:ascii="Consolas" w:cs="Consolas" w:eastAsia="Consolas" w:hAnsi="Consolas"/>
                <w:b w:val="false"/>
                <w:bCs w:val="false"/>
                <w:sz w:val="19"/>
                <w:szCs w:val="19"/>
              </w:rPr>
              <w:t xml:space="preserve">float</w:t>
            </w:r>
          </w:p>
        </w:tc>
        <w:tc>
          <w:tcPr>
            <w:tcW w:type="dxa" w:w="5760"/>
            <w:tcMar>
              <w:top w:type="dxa" w:w="80"/>
              <w:left w:type="dxa" w:w="110"/>
              <w:bottom w:type="dxa" w:w="80"/>
              <w:right w:type="dxa" w:w="110"/>
            </w:tcMar>
          </w:tcPr>
          <w:p>
            <w:r>
              <w:rPr>
                <w:b w:val="false"/>
                <w:bCs w:val="false"/>
                <w:sz w:val="19"/>
                <w:szCs w:val="19"/>
              </w:rPr>
              <w:t xml:space="preserve">Height of the tank in feet. Must be greater than zero.</w:t>
            </w:r>
          </w:p>
        </w:tc>
      </w:tr>
      <w:tr>
        <w:trPr>
          <w:tblHeader w:val="false"/>
        </w:trPr>
        <w:tc>
          <w:tcPr>
            <w:tcW w:type="dxa" w:w="2200"/>
            <w:tcMar>
              <w:top w:type="dxa" w:w="80"/>
              <w:left w:type="dxa" w:w="110"/>
              <w:bottom w:type="dxa" w:w="80"/>
              <w:right w:type="dxa" w:w="110"/>
            </w:tcMar>
          </w:tcPr>
          <w:p>
            <w:r>
              <w:rPr>
                <w:rFonts w:ascii="Consolas" w:cs="Consolas" w:eastAsia="Consolas" w:hAnsi="Consolas"/>
                <w:b w:val="false"/>
                <w:bCs w:val="false"/>
                <w:sz w:val="19"/>
                <w:szCs w:val="19"/>
              </w:rPr>
              <w:t xml:space="preserve">radius</w:t>
            </w:r>
          </w:p>
        </w:tc>
        <w:tc>
          <w:tcPr>
            <w:tcW w:type="dxa" w:w="1400"/>
            <w:tcMar>
              <w:top w:type="dxa" w:w="80"/>
              <w:left w:type="dxa" w:w="110"/>
              <w:bottom w:type="dxa" w:w="80"/>
              <w:right w:type="dxa" w:w="110"/>
            </w:tcMar>
          </w:tcPr>
          <w:p>
            <w:r>
              <w:rPr>
                <w:rFonts w:ascii="Consolas" w:cs="Consolas" w:eastAsia="Consolas" w:hAnsi="Consolas"/>
                <w:b w:val="false"/>
                <w:bCs w:val="false"/>
                <w:sz w:val="19"/>
                <w:szCs w:val="19"/>
              </w:rPr>
              <w:t xml:space="preserve">float</w:t>
            </w:r>
          </w:p>
        </w:tc>
        <w:tc>
          <w:tcPr>
            <w:tcW w:type="dxa" w:w="5760"/>
            <w:tcMar>
              <w:top w:type="dxa" w:w="80"/>
              <w:left w:type="dxa" w:w="110"/>
              <w:bottom w:type="dxa" w:w="80"/>
              <w:right w:type="dxa" w:w="110"/>
            </w:tcMar>
          </w:tcPr>
          <w:p>
            <w:r>
              <w:rPr>
                <w:b w:val="false"/>
                <w:bCs w:val="false"/>
                <w:sz w:val="19"/>
                <w:szCs w:val="19"/>
              </w:rPr>
              <w:t xml:space="preserve">Radius of the tank's circular base in feet. Must be greater than zero.</w:t>
            </w:r>
          </w:p>
        </w:tc>
      </w:tr>
    </w:tbl>
    <w:p>
      <w:pPr>
        <w:spacing w:after="140"/>
      </w:pPr>
    </w:p>
    <w:p>
      <w:pPr>
        <w:pStyle w:val="Heading2"/>
        <w:spacing w:after="100" w:before="180"/>
      </w:pPr>
      <w:r>
        <w:rPr>
          <w:b/>
          <w:bCs/>
          <w:color w:val="2E2E2E"/>
          <w:sz w:val="23"/>
          <w:szCs w:val="23"/>
        </w:rPr>
        <w:t xml:space="preserve">4.2 Methods and Formulas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400"/>
        <w:gridCol w:w="4360"/>
      </w:tblGrid>
      <w:tr>
        <w:trPr>
          <w:tblHeader/>
        </w:trPr>
        <w:tc>
          <w:tcPr>
            <w:tcW w:type="dxa" w:w="2600"/>
            <w:shd w:fill="E8EEF5" w:val="clear"/>
            <w:tcMar>
              <w:top w:type="dxa" w:w="80"/>
              <w:left w:type="dxa" w:w="110"/>
              <w:bottom w:type="dxa" w:w="80"/>
              <w:right w:type="dxa" w:w="110"/>
            </w:tcMar>
          </w:tcPr>
          <w:p>
            <w:r>
              <w:rPr>
                <w:b/>
                <w:bCs/>
                <w:sz w:val="19"/>
                <w:szCs w:val="19"/>
              </w:rPr>
              <w:t xml:space="preserve">Method</w:t>
            </w:r>
          </w:p>
        </w:tc>
        <w:tc>
          <w:tcPr>
            <w:tcW w:type="dxa" w:w="2400"/>
            <w:shd w:fill="E8EEF5" w:val="clear"/>
            <w:tcMar>
              <w:top w:type="dxa" w:w="80"/>
              <w:left w:type="dxa" w:w="110"/>
              <w:bottom w:type="dxa" w:w="80"/>
              <w:right w:type="dxa" w:w="110"/>
            </w:tcMar>
          </w:tcPr>
          <w:p>
            <w:r>
              <w:rPr>
                <w:b/>
                <w:bCs/>
                <w:sz w:val="19"/>
                <w:szCs w:val="19"/>
              </w:rPr>
              <w:t xml:space="preserve">Formula</w:t>
            </w:r>
          </w:p>
        </w:tc>
        <w:tc>
          <w:tcPr>
            <w:tcW w:type="dxa" w:w="4360"/>
            <w:shd w:fill="E8EEF5" w:val="clear"/>
            <w:tcMar>
              <w:top w:type="dxa" w:w="80"/>
              <w:left w:type="dxa" w:w="110"/>
              <w:bottom w:type="dxa" w:w="80"/>
              <w:right w:type="dxa" w:w="110"/>
            </w:tcMar>
          </w:tcPr>
          <w:p>
            <w:r>
              <w:rPr>
                <w:b/>
                <w:bCs/>
                <w:sz w:val="19"/>
                <w:szCs w:val="19"/>
              </w:rPr>
              <w:t xml:space="preserve">Returns</w:t>
            </w:r>
          </w:p>
        </w:tc>
      </w:tr>
      <w:tr>
        <w:trPr>
          <w:tblHeader w:val="false"/>
        </w:trPr>
        <w:tc>
          <w:tcPr>
            <w:tcW w:type="dxa" w:w="2600"/>
            <w:tcMar>
              <w:top w:type="dxa" w:w="80"/>
              <w:left w:type="dxa" w:w="110"/>
              <w:bottom w:type="dxa" w:w="80"/>
              <w:right w:type="dxa" w:w="110"/>
            </w:tcMar>
          </w:tcPr>
          <w:p>
            <w:r>
              <w:rPr>
                <w:rFonts w:ascii="Consolas" w:cs="Consolas" w:eastAsia="Consolas" w:hAnsi="Consolas"/>
                <w:b w:val="false"/>
                <w:bCs w:val="false"/>
                <w:sz w:val="19"/>
                <w:szCs w:val="19"/>
              </w:rPr>
              <w:t xml:space="preserve">volume_cubic_feet()</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pi * r^2 * h</w:t>
            </w:r>
          </w:p>
        </w:tc>
        <w:tc>
          <w:tcPr>
            <w:tcW w:type="dxa" w:w="4360"/>
            <w:tcMar>
              <w:top w:type="dxa" w:w="80"/>
              <w:left w:type="dxa" w:w="110"/>
              <w:bottom w:type="dxa" w:w="80"/>
              <w:right w:type="dxa" w:w="110"/>
            </w:tcMar>
          </w:tcPr>
          <w:p>
            <w:r>
              <w:rPr>
                <w:b w:val="false"/>
                <w:bCs w:val="false"/>
                <w:sz w:val="19"/>
                <w:szCs w:val="19"/>
              </w:rPr>
              <w:t xml:space="preserve">Total volume of the tank in cubic feet.</w:t>
            </w:r>
          </w:p>
        </w:tc>
      </w:tr>
      <w:tr>
        <w:trPr>
          <w:tblHeader w:val="false"/>
        </w:trPr>
        <w:tc>
          <w:tcPr>
            <w:tcW w:type="dxa" w:w="2600"/>
            <w:tcMar>
              <w:top w:type="dxa" w:w="80"/>
              <w:left w:type="dxa" w:w="110"/>
              <w:bottom w:type="dxa" w:w="80"/>
              <w:right w:type="dxa" w:w="110"/>
            </w:tcMar>
          </w:tcPr>
          <w:p>
            <w:r>
              <w:rPr>
                <w:rFonts w:ascii="Consolas" w:cs="Consolas" w:eastAsia="Consolas" w:hAnsi="Consolas"/>
                <w:b w:val="false"/>
                <w:bCs w:val="false"/>
                <w:sz w:val="19"/>
                <w:szCs w:val="19"/>
              </w:rPr>
              <w:t xml:space="preserve">volume_gallons()</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cubic feet * 7.48052</w:t>
            </w:r>
          </w:p>
        </w:tc>
        <w:tc>
          <w:tcPr>
            <w:tcW w:type="dxa" w:w="4360"/>
            <w:tcMar>
              <w:top w:type="dxa" w:w="80"/>
              <w:left w:type="dxa" w:w="110"/>
              <w:bottom w:type="dxa" w:w="80"/>
              <w:right w:type="dxa" w:w="110"/>
            </w:tcMar>
          </w:tcPr>
          <w:p>
            <w:r>
              <w:rPr>
                <w:b w:val="false"/>
                <w:bCs w:val="false"/>
                <w:sz w:val="19"/>
                <w:szCs w:val="19"/>
              </w:rPr>
              <w:t xml:space="preserve">Total volume in US gallons.</w:t>
            </w:r>
          </w:p>
        </w:tc>
      </w:tr>
      <w:tr>
        <w:trPr>
          <w:tblHeader w:val="false"/>
        </w:trPr>
        <w:tc>
          <w:tcPr>
            <w:tcW w:type="dxa" w:w="2600"/>
            <w:tcMar>
              <w:top w:type="dxa" w:w="80"/>
              <w:left w:type="dxa" w:w="110"/>
              <w:bottom w:type="dxa" w:w="80"/>
              <w:right w:type="dxa" w:w="110"/>
            </w:tcMar>
          </w:tcPr>
          <w:p>
            <w:r>
              <w:rPr>
                <w:rFonts w:ascii="Consolas" w:cs="Consolas" w:eastAsia="Consolas" w:hAnsi="Consolas"/>
                <w:b w:val="false"/>
                <w:bCs w:val="false"/>
                <w:sz w:val="19"/>
                <w:szCs w:val="19"/>
              </w:rPr>
              <w:t xml:space="preserve">water_weight_pounds()</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cubic feet * 62.4</w:t>
            </w:r>
          </w:p>
        </w:tc>
        <w:tc>
          <w:tcPr>
            <w:tcW w:type="dxa" w:w="4360"/>
            <w:tcMar>
              <w:top w:type="dxa" w:w="80"/>
              <w:left w:type="dxa" w:w="110"/>
              <w:bottom w:type="dxa" w:w="80"/>
              <w:right w:type="dxa" w:w="110"/>
            </w:tcMar>
          </w:tcPr>
          <w:p>
            <w:r>
              <w:rPr>
                <w:b w:val="false"/>
                <w:bCs w:val="false"/>
                <w:sz w:val="19"/>
                <w:szCs w:val="19"/>
              </w:rPr>
              <w:t xml:space="preserve">Weight of the water in pounds when full.</w:t>
            </w:r>
          </w:p>
        </w:tc>
      </w:tr>
      <w:tr>
        <w:trPr>
          <w:tblHeader w:val="false"/>
        </w:trPr>
        <w:tc>
          <w:tcPr>
            <w:tcW w:type="dxa" w:w="2600"/>
            <w:tcMar>
              <w:top w:type="dxa" w:w="80"/>
              <w:left w:type="dxa" w:w="110"/>
              <w:bottom w:type="dxa" w:w="80"/>
              <w:right w:type="dxa" w:w="110"/>
            </w:tcMar>
          </w:tcPr>
          <w:p>
            <w:r>
              <w:rPr>
                <w:rFonts w:ascii="Consolas" w:cs="Consolas" w:eastAsia="Consolas" w:hAnsi="Consolas"/>
                <w:b w:val="false"/>
                <w:bCs w:val="false"/>
                <w:sz w:val="19"/>
                <w:szCs w:val="19"/>
              </w:rPr>
              <w:t xml:space="preserve">top_area()</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pi * r^2</w:t>
            </w:r>
          </w:p>
        </w:tc>
        <w:tc>
          <w:tcPr>
            <w:tcW w:type="dxa" w:w="4360"/>
            <w:tcMar>
              <w:top w:type="dxa" w:w="80"/>
              <w:left w:type="dxa" w:w="110"/>
              <w:bottom w:type="dxa" w:w="80"/>
              <w:right w:type="dxa" w:w="110"/>
            </w:tcMar>
          </w:tcPr>
          <w:p>
            <w:r>
              <w:rPr>
                <w:b w:val="false"/>
                <w:bCs w:val="false"/>
                <w:sz w:val="19"/>
                <w:szCs w:val="19"/>
              </w:rPr>
              <w:t xml:space="preserve">Area of the circular top, in square feet.</w:t>
            </w:r>
          </w:p>
        </w:tc>
      </w:tr>
      <w:tr>
        <w:trPr>
          <w:tblHeader w:val="false"/>
        </w:trPr>
        <w:tc>
          <w:tcPr>
            <w:tcW w:type="dxa" w:w="2600"/>
            <w:tcMar>
              <w:top w:type="dxa" w:w="80"/>
              <w:left w:type="dxa" w:w="110"/>
              <w:bottom w:type="dxa" w:w="80"/>
              <w:right w:type="dxa" w:w="110"/>
            </w:tcMar>
          </w:tcPr>
          <w:p>
            <w:r>
              <w:rPr>
                <w:rFonts w:ascii="Consolas" w:cs="Consolas" w:eastAsia="Consolas" w:hAnsi="Consolas"/>
                <w:b w:val="false"/>
                <w:bCs w:val="false"/>
                <w:sz w:val="19"/>
                <w:szCs w:val="19"/>
              </w:rPr>
              <w:t xml:space="preserve">side_area()</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2 * pi * r * h</w:t>
            </w:r>
          </w:p>
        </w:tc>
        <w:tc>
          <w:tcPr>
            <w:tcW w:type="dxa" w:w="4360"/>
            <w:tcMar>
              <w:top w:type="dxa" w:w="80"/>
              <w:left w:type="dxa" w:w="110"/>
              <w:bottom w:type="dxa" w:w="80"/>
              <w:right w:type="dxa" w:w="110"/>
            </w:tcMar>
          </w:tcPr>
          <w:p>
            <w:r>
              <w:rPr>
                <w:b w:val="false"/>
                <w:bCs w:val="false"/>
                <w:sz w:val="19"/>
                <w:szCs w:val="19"/>
              </w:rPr>
              <w:t xml:space="preserve">Area of the outside wall, in square feet.</w:t>
            </w:r>
          </w:p>
        </w:tc>
      </w:tr>
      <w:tr>
        <w:trPr>
          <w:tblHeader w:val="false"/>
        </w:trPr>
        <w:tc>
          <w:tcPr>
            <w:tcW w:type="dxa" w:w="2600"/>
            <w:tcMar>
              <w:top w:type="dxa" w:w="80"/>
              <w:left w:type="dxa" w:w="110"/>
              <w:bottom w:type="dxa" w:w="80"/>
              <w:right w:type="dxa" w:w="110"/>
            </w:tcMar>
          </w:tcPr>
          <w:p>
            <w:r>
              <w:rPr>
                <w:rFonts w:ascii="Consolas" w:cs="Consolas" w:eastAsia="Consolas" w:hAnsi="Consolas"/>
                <w:b w:val="false"/>
                <w:bCs w:val="false"/>
                <w:sz w:val="19"/>
                <w:szCs w:val="19"/>
              </w:rPr>
              <w:t xml:space="preserve">paint_area()</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top + side</w:t>
            </w:r>
          </w:p>
        </w:tc>
        <w:tc>
          <w:tcPr>
            <w:tcW w:type="dxa" w:w="4360"/>
            <w:tcMar>
              <w:top w:type="dxa" w:w="80"/>
              <w:left w:type="dxa" w:w="110"/>
              <w:bottom w:type="dxa" w:w="80"/>
              <w:right w:type="dxa" w:w="110"/>
            </w:tcMar>
          </w:tcPr>
          <w:p>
            <w:r>
              <w:rPr>
                <w:b w:val="false"/>
                <w:bCs w:val="false"/>
                <w:sz w:val="19"/>
                <w:szCs w:val="19"/>
              </w:rPr>
              <w:t xml:space="preserve">Total area to paint, in square feet.</w:t>
            </w:r>
          </w:p>
        </w:tc>
      </w:tr>
    </w:tbl>
    <w:p>
      <w:pPr>
        <w:spacing w:after="140"/>
      </w:pPr>
    </w:p>
    <w:p>
      <w:pPr>
        <w:spacing w:after="140"/>
      </w:pPr>
      <w:r>
        <w:rPr>
          <w:sz w:val="22"/>
          <w:szCs w:val="22"/>
        </w:rPr>
        <w:t xml:space="preserve">Note that the methods call one another rather than repeating a formula. volume_gallons() calls volume_cubic_feet() instead of rewriting the cylinder formula, and paint_area() calls top_area() and side_area(). If a formula ever had to change, it would only need to be corrected in one place.</w:t>
      </w:r>
    </w:p>
    <w:p>
      <w:pPr>
        <w:pStyle w:val="Heading2"/>
        <w:spacing w:after="100" w:before="180"/>
      </w:pPr>
      <w:r>
        <w:rPr>
          <w:b/>
          <w:bCs/>
          <w:color w:val="2E2E2E"/>
          <w:sz w:val="23"/>
          <w:szCs w:val="23"/>
        </w:rPr>
        <w:t xml:space="preserve">4.3 Constants</w:t>
      </w:r>
    </w:p>
    <w:p>
      <w:pPr>
        <w:spacing w:after="140"/>
      </w:pPr>
      <w:r>
        <w:rPr>
          <w:sz w:val="22"/>
          <w:szCs w:val="22"/>
        </w:rPr>
        <w:t xml:space="preserve">The two conversion factors are defined as named constants at the top of the file rather than being typed directly into the formulas, so that their meaning is visible and they can be adjusted in one place.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1400"/>
        <w:gridCol w:w="4960"/>
      </w:tblGrid>
      <w:tr>
        <w:trPr>
          <w:tblHeader/>
        </w:trPr>
        <w:tc>
          <w:tcPr>
            <w:tcW w:type="dxa" w:w="3000"/>
            <w:shd w:fill="E8EEF5" w:val="clear"/>
            <w:tcMar>
              <w:top w:type="dxa" w:w="80"/>
              <w:left w:type="dxa" w:w="110"/>
              <w:bottom w:type="dxa" w:w="80"/>
              <w:right w:type="dxa" w:w="110"/>
            </w:tcMar>
          </w:tcPr>
          <w:p>
            <w:r>
              <w:rPr>
                <w:b/>
                <w:bCs/>
                <w:sz w:val="19"/>
                <w:szCs w:val="19"/>
              </w:rPr>
              <w:t xml:space="preserve">Constant</w:t>
            </w:r>
          </w:p>
        </w:tc>
        <w:tc>
          <w:tcPr>
            <w:tcW w:type="dxa" w:w="1400"/>
            <w:shd w:fill="E8EEF5" w:val="clear"/>
            <w:tcMar>
              <w:top w:type="dxa" w:w="80"/>
              <w:left w:type="dxa" w:w="110"/>
              <w:bottom w:type="dxa" w:w="80"/>
              <w:right w:type="dxa" w:w="110"/>
            </w:tcMar>
          </w:tcPr>
          <w:p>
            <w:r>
              <w:rPr>
                <w:b/>
                <w:bCs/>
                <w:sz w:val="19"/>
                <w:szCs w:val="19"/>
              </w:rPr>
              <w:t xml:space="preserve">Value</w:t>
            </w:r>
          </w:p>
        </w:tc>
        <w:tc>
          <w:tcPr>
            <w:tcW w:type="dxa" w:w="4960"/>
            <w:shd w:fill="E8EEF5" w:val="clear"/>
            <w:tcMar>
              <w:top w:type="dxa" w:w="80"/>
              <w:left w:type="dxa" w:w="110"/>
              <w:bottom w:type="dxa" w:w="80"/>
              <w:right w:type="dxa" w:w="110"/>
            </w:tcMar>
          </w:tcPr>
          <w:p>
            <w:r>
              <w:rPr>
                <w:b/>
                <w:bCs/>
                <w:sz w:val="19"/>
                <w:szCs w:val="19"/>
              </w:rPr>
              <w:t xml:space="preserve">Meaning</w:t>
            </w:r>
          </w:p>
        </w:tc>
      </w:tr>
      <w:tr>
        <w:trPr>
          <w:tblHeader w:val="false"/>
        </w:trPr>
        <w:tc>
          <w:tcPr>
            <w:tcW w:type="dxa" w:w="3000"/>
            <w:tcMar>
              <w:top w:type="dxa" w:w="80"/>
              <w:left w:type="dxa" w:w="110"/>
              <w:bottom w:type="dxa" w:w="80"/>
              <w:right w:type="dxa" w:w="110"/>
            </w:tcMar>
          </w:tcPr>
          <w:p>
            <w:r>
              <w:rPr>
                <w:rFonts w:ascii="Consolas" w:cs="Consolas" w:eastAsia="Consolas" w:hAnsi="Consolas"/>
                <w:b w:val="false"/>
                <w:bCs w:val="false"/>
                <w:sz w:val="19"/>
                <w:szCs w:val="19"/>
              </w:rPr>
              <w:t xml:space="preserve">GALLONS_PER_CUBIC_FOOT</w:t>
            </w:r>
          </w:p>
        </w:tc>
        <w:tc>
          <w:tcPr>
            <w:tcW w:type="dxa" w:w="1400"/>
            <w:tcMar>
              <w:top w:type="dxa" w:w="80"/>
              <w:left w:type="dxa" w:w="110"/>
              <w:bottom w:type="dxa" w:w="80"/>
              <w:right w:type="dxa" w:w="110"/>
            </w:tcMar>
          </w:tcPr>
          <w:p>
            <w:r>
              <w:rPr>
                <w:rFonts w:ascii="Consolas" w:cs="Consolas" w:eastAsia="Consolas" w:hAnsi="Consolas"/>
                <w:b w:val="false"/>
                <w:bCs w:val="false"/>
                <w:sz w:val="19"/>
                <w:szCs w:val="19"/>
              </w:rPr>
              <w:t xml:space="preserve">7.48052</w:t>
            </w:r>
          </w:p>
        </w:tc>
        <w:tc>
          <w:tcPr>
            <w:tcW w:type="dxa" w:w="4960"/>
            <w:tcMar>
              <w:top w:type="dxa" w:w="80"/>
              <w:left w:type="dxa" w:w="110"/>
              <w:bottom w:type="dxa" w:w="80"/>
              <w:right w:type="dxa" w:w="110"/>
            </w:tcMar>
          </w:tcPr>
          <w:p>
            <w:r>
              <w:rPr>
                <w:b w:val="false"/>
                <w:bCs w:val="false"/>
                <w:sz w:val="19"/>
                <w:szCs w:val="19"/>
              </w:rPr>
              <w:t xml:space="preserve">US gallons contained in one cubic foot.</w:t>
            </w:r>
          </w:p>
        </w:tc>
      </w:tr>
      <w:tr>
        <w:trPr>
          <w:tblHeader w:val="false"/>
        </w:trPr>
        <w:tc>
          <w:tcPr>
            <w:tcW w:type="dxa" w:w="3000"/>
            <w:tcMar>
              <w:top w:type="dxa" w:w="80"/>
              <w:left w:type="dxa" w:w="110"/>
              <w:bottom w:type="dxa" w:w="80"/>
              <w:right w:type="dxa" w:w="110"/>
            </w:tcMar>
          </w:tcPr>
          <w:p>
            <w:r>
              <w:rPr>
                <w:rFonts w:ascii="Consolas" w:cs="Consolas" w:eastAsia="Consolas" w:hAnsi="Consolas"/>
                <w:b w:val="false"/>
                <w:bCs w:val="false"/>
                <w:sz w:val="19"/>
                <w:szCs w:val="19"/>
              </w:rPr>
              <w:t xml:space="preserve">POUNDS_PER_CUBIC_FOOT</w:t>
            </w:r>
          </w:p>
        </w:tc>
        <w:tc>
          <w:tcPr>
            <w:tcW w:type="dxa" w:w="1400"/>
            <w:tcMar>
              <w:top w:type="dxa" w:w="80"/>
              <w:left w:type="dxa" w:w="110"/>
              <w:bottom w:type="dxa" w:w="80"/>
              <w:right w:type="dxa" w:w="110"/>
            </w:tcMar>
          </w:tcPr>
          <w:p>
            <w:r>
              <w:rPr>
                <w:rFonts w:ascii="Consolas" w:cs="Consolas" w:eastAsia="Consolas" w:hAnsi="Consolas"/>
                <w:b w:val="false"/>
                <w:bCs w:val="false"/>
                <w:sz w:val="19"/>
                <w:szCs w:val="19"/>
              </w:rPr>
              <w:t xml:space="preserve">62.4</w:t>
            </w:r>
          </w:p>
        </w:tc>
        <w:tc>
          <w:tcPr>
            <w:tcW w:type="dxa" w:w="4960"/>
            <w:tcMar>
              <w:top w:type="dxa" w:w="80"/>
              <w:left w:type="dxa" w:w="110"/>
              <w:bottom w:type="dxa" w:w="80"/>
              <w:right w:type="dxa" w:w="110"/>
            </w:tcMar>
          </w:tcPr>
          <w:p>
            <w:r>
              <w:rPr>
                <w:b w:val="false"/>
                <w:bCs w:val="false"/>
                <w:sz w:val="19"/>
                <w:szCs w:val="19"/>
              </w:rPr>
              <w:t xml:space="preserve">Weight in pounds of one cubic foot of fresh water.</w:t>
            </w:r>
          </w:p>
        </w:tc>
      </w:tr>
    </w:tbl>
    <w:p>
      <w:pPr>
        <w:spacing w:after="140"/>
      </w:pPr>
    </w:p>
    <w:p>
      <w:pPr>
        <w:pStyle w:val="Heading1"/>
        <w:spacing w:after="140" w:before="260"/>
      </w:pPr>
      <w:r>
        <w:rPr>
          <w:b/>
          <w:bCs/>
          <w:color w:val="1A4F8B"/>
          <w:sz w:val="27"/>
          <w:szCs w:val="27"/>
        </w:rPr>
        <w:t xml:space="preserve">5. The TankApp Class (Interface)</w:t>
      </w:r>
    </w:p>
    <w:p>
      <w:pPr>
        <w:spacing w:after="140"/>
      </w:pPr>
      <w:r>
        <w:rPr>
          <w:sz w:val="22"/>
          <w:szCs w:val="22"/>
        </w:rPr>
        <w:t xml:space="preserve">TankApp builds the window in six steps, each handled by its own method so that no single method becomes long or hard to follow.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900"/>
        <w:gridCol w:w="6460"/>
      </w:tblGrid>
      <w:tr>
        <w:trPr>
          <w:tblHeader/>
        </w:trPr>
        <w:tc>
          <w:tcPr>
            <w:tcW w:type="dxa" w:w="2900"/>
            <w:shd w:fill="E8EEF5" w:val="clear"/>
            <w:tcMar>
              <w:top w:type="dxa" w:w="80"/>
              <w:left w:type="dxa" w:w="110"/>
              <w:bottom w:type="dxa" w:w="80"/>
              <w:right w:type="dxa" w:w="110"/>
            </w:tcMar>
          </w:tcPr>
          <w:p>
            <w:r>
              <w:rPr>
                <w:b/>
                <w:bCs/>
                <w:sz w:val="19"/>
                <w:szCs w:val="19"/>
              </w:rPr>
              <w:t xml:space="preserve">Method</w:t>
            </w:r>
          </w:p>
        </w:tc>
        <w:tc>
          <w:tcPr>
            <w:tcW w:type="dxa" w:w="6460"/>
            <w:shd w:fill="E8EEF5" w:val="clear"/>
            <w:tcMar>
              <w:top w:type="dxa" w:w="80"/>
              <w:left w:type="dxa" w:w="110"/>
              <w:bottom w:type="dxa" w:w="80"/>
              <w:right w:type="dxa" w:w="110"/>
            </w:tcMar>
          </w:tcPr>
          <w:p>
            <w:r>
              <w:rPr>
                <w:b/>
                <w:bCs/>
                <w:sz w:val="19"/>
                <w:szCs w:val="19"/>
              </w:rPr>
              <w:t xml:space="preserve">Builds</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_build_menu_bar()</w:t>
            </w:r>
          </w:p>
        </w:tc>
        <w:tc>
          <w:tcPr>
            <w:tcW w:type="dxa" w:w="6460"/>
            <w:tcMar>
              <w:top w:type="dxa" w:w="80"/>
              <w:left w:type="dxa" w:w="110"/>
              <w:bottom w:type="dxa" w:w="80"/>
              <w:right w:type="dxa" w:w="110"/>
            </w:tcMar>
          </w:tcPr>
          <w:p>
            <w:r>
              <w:rPr>
                <w:b w:val="false"/>
                <w:bCs w:val="false"/>
                <w:sz w:val="19"/>
                <w:szCs w:val="19"/>
              </w:rPr>
              <w:t xml:space="preserve">The File and View drop-down menus across the top of the window.</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_build_control_bar()</w:t>
            </w:r>
          </w:p>
        </w:tc>
        <w:tc>
          <w:tcPr>
            <w:tcW w:type="dxa" w:w="6460"/>
            <w:tcMar>
              <w:top w:type="dxa" w:w="80"/>
              <w:left w:type="dxa" w:w="110"/>
              <w:bottom w:type="dxa" w:w="80"/>
              <w:right w:type="dxa" w:w="110"/>
            </w:tcMar>
          </w:tcPr>
          <w:p>
            <w:r>
              <w:rPr>
                <w:b w:val="false"/>
                <w:bCs w:val="false"/>
                <w:sz w:val="19"/>
                <w:szCs w:val="19"/>
              </w:rPr>
              <w:t xml:space="preserve">The on-screen Color scheme and Window drop-downs.</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_build_input_section()</w:t>
            </w:r>
          </w:p>
        </w:tc>
        <w:tc>
          <w:tcPr>
            <w:tcW w:type="dxa" w:w="6460"/>
            <w:tcMar>
              <w:top w:type="dxa" w:w="80"/>
              <w:left w:type="dxa" w:w="110"/>
              <w:bottom w:type="dxa" w:w="80"/>
              <w:right w:type="dxa" w:w="110"/>
            </w:tcMar>
          </w:tcPr>
          <w:p>
            <w:r>
              <w:rPr>
                <w:b w:val="false"/>
                <w:bCs w:val="false"/>
                <w:sz w:val="19"/>
                <w:szCs w:val="19"/>
              </w:rPr>
              <w:t xml:space="preserve">The title, instructions, and the Height and Radius input boxes.</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_build_button_section()</w:t>
            </w:r>
          </w:p>
        </w:tc>
        <w:tc>
          <w:tcPr>
            <w:tcW w:type="dxa" w:w="6460"/>
            <w:tcMar>
              <w:top w:type="dxa" w:w="80"/>
              <w:left w:type="dxa" w:w="110"/>
              <w:bottom w:type="dxa" w:w="80"/>
              <w:right w:type="dxa" w:w="110"/>
            </w:tcMar>
          </w:tcPr>
          <w:p>
            <w:r>
              <w:rPr>
                <w:b w:val="false"/>
                <w:bCs w:val="false"/>
                <w:sz w:val="19"/>
                <w:szCs w:val="19"/>
              </w:rPr>
              <w:t xml:space="preserve">The Calculate and Clear buttons.</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_build_results_section()</w:t>
            </w:r>
          </w:p>
        </w:tc>
        <w:tc>
          <w:tcPr>
            <w:tcW w:type="dxa" w:w="6460"/>
            <w:tcMar>
              <w:top w:type="dxa" w:w="80"/>
              <w:left w:type="dxa" w:w="110"/>
              <w:bottom w:type="dxa" w:w="80"/>
              <w:right w:type="dxa" w:w="110"/>
            </w:tcMar>
          </w:tcPr>
          <w:p>
            <w:r>
              <w:rPr>
                <w:b w:val="false"/>
                <w:bCs w:val="false"/>
                <w:sz w:val="19"/>
                <w:szCs w:val="19"/>
              </w:rPr>
              <w:t xml:space="preserve">The panel holding the six calculated results.</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_build_status_bar()</w:t>
            </w:r>
          </w:p>
        </w:tc>
        <w:tc>
          <w:tcPr>
            <w:tcW w:type="dxa" w:w="6460"/>
            <w:tcMar>
              <w:top w:type="dxa" w:w="80"/>
              <w:left w:type="dxa" w:w="110"/>
              <w:bottom w:type="dxa" w:w="80"/>
              <w:right w:type="dxa" w:w="110"/>
            </w:tcMar>
          </w:tcPr>
          <w:p>
            <w:r>
              <w:rPr>
                <w:b w:val="false"/>
                <w:bCs w:val="false"/>
                <w:sz w:val="19"/>
                <w:szCs w:val="19"/>
              </w:rPr>
              <w:t xml:space="preserve">The message line at the bottom, where errors appear.</w:t>
            </w:r>
          </w:p>
        </w:tc>
      </w:tr>
    </w:tbl>
    <w:p>
      <w:pPr>
        <w:spacing w:after="140"/>
      </w:pPr>
    </w:p>
    <w:p>
      <w:pPr>
        <w:pStyle w:val="Heading2"/>
        <w:spacing w:after="100" w:before="180"/>
      </w:pPr>
      <w:r>
        <w:rPr>
          <w:b/>
          <w:bCs/>
          <w:color w:val="2E2E2E"/>
          <w:sz w:val="23"/>
          <w:szCs w:val="23"/>
        </w:rPr>
        <w:t xml:space="preserve">5.1 Action Methods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900"/>
        <w:gridCol w:w="6460"/>
      </w:tblGrid>
      <w:tr>
        <w:trPr>
          <w:tblHeader/>
        </w:trPr>
        <w:tc>
          <w:tcPr>
            <w:tcW w:type="dxa" w:w="2900"/>
            <w:shd w:fill="E8EEF5" w:val="clear"/>
            <w:tcMar>
              <w:top w:type="dxa" w:w="80"/>
              <w:left w:type="dxa" w:w="110"/>
              <w:bottom w:type="dxa" w:w="80"/>
              <w:right w:type="dxa" w:w="110"/>
            </w:tcMar>
          </w:tcPr>
          <w:p>
            <w:r>
              <w:rPr>
                <w:b/>
                <w:bCs/>
                <w:sz w:val="19"/>
                <w:szCs w:val="19"/>
              </w:rPr>
              <w:t xml:space="preserve">Method</w:t>
            </w:r>
          </w:p>
        </w:tc>
        <w:tc>
          <w:tcPr>
            <w:tcW w:type="dxa" w:w="6460"/>
            <w:shd w:fill="E8EEF5" w:val="clear"/>
            <w:tcMar>
              <w:top w:type="dxa" w:w="80"/>
              <w:left w:type="dxa" w:w="110"/>
              <w:bottom w:type="dxa" w:w="80"/>
              <w:right w:type="dxa" w:w="110"/>
            </w:tcMar>
          </w:tcPr>
          <w:p>
            <w:r>
              <w:rPr>
                <w:b/>
                <w:bCs/>
                <w:sz w:val="19"/>
                <w:szCs w:val="19"/>
              </w:rPr>
              <w:t xml:space="preserve">Purpose</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calculate()</w:t>
            </w:r>
          </w:p>
        </w:tc>
        <w:tc>
          <w:tcPr>
            <w:tcW w:type="dxa" w:w="6460"/>
            <w:tcMar>
              <w:top w:type="dxa" w:w="80"/>
              <w:left w:type="dxa" w:w="110"/>
              <w:bottom w:type="dxa" w:w="80"/>
              <w:right w:type="dxa" w:w="110"/>
            </w:tcMar>
          </w:tcPr>
          <w:p>
            <w:r>
              <w:rPr>
                <w:b w:val="false"/>
                <w:bCs w:val="false"/>
                <w:sz w:val="19"/>
                <w:szCs w:val="19"/>
              </w:rPr>
              <w:t xml:space="preserve">Validates both inputs, creates a Tank object, and writes the six results into the panel. If validation fails, the results are blanked and the cursor is placed in the offending box.</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clear()</w:t>
            </w:r>
          </w:p>
        </w:tc>
        <w:tc>
          <w:tcPr>
            <w:tcW w:type="dxa" w:w="6460"/>
            <w:tcMar>
              <w:top w:type="dxa" w:w="80"/>
              <w:left w:type="dxa" w:w="110"/>
              <w:bottom w:type="dxa" w:w="80"/>
              <w:right w:type="dxa" w:w="110"/>
            </w:tcMar>
          </w:tcPr>
          <w:p>
            <w:r>
              <w:rPr>
                <w:b w:val="false"/>
                <w:bCs w:val="false"/>
                <w:sz w:val="19"/>
                <w:szCs w:val="19"/>
              </w:rPr>
              <w:t xml:space="preserve">Empties the input boxes and the results, ready for a new tank.</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clear_results()</w:t>
            </w:r>
          </w:p>
        </w:tc>
        <w:tc>
          <w:tcPr>
            <w:tcW w:type="dxa" w:w="6460"/>
            <w:tcMar>
              <w:top w:type="dxa" w:w="80"/>
              <w:left w:type="dxa" w:w="110"/>
              <w:bottom w:type="dxa" w:w="80"/>
              <w:right w:type="dxa" w:w="110"/>
            </w:tcMar>
          </w:tcPr>
          <w:p>
            <w:r>
              <w:rPr>
                <w:b w:val="false"/>
                <w:bCs w:val="false"/>
                <w:sz w:val="19"/>
                <w:szCs w:val="19"/>
              </w:rPr>
              <w:t xml:space="preserve">Blanks the six results without disturbing what the user typed.</w:t>
            </w:r>
          </w:p>
        </w:tc>
      </w:tr>
      <w:tr>
        <w:trPr>
          <w:tblHeader w:val="false"/>
        </w:trPr>
        <w:tc>
          <w:tcPr>
            <w:tcW w:type="dxa" w:w="2900"/>
            <w:tcMar>
              <w:top w:type="dxa" w:w="80"/>
              <w:left w:type="dxa" w:w="110"/>
              <w:bottom w:type="dxa" w:w="80"/>
              <w:right w:type="dxa" w:w="110"/>
            </w:tcMar>
          </w:tcPr>
          <w:p>
            <w:r>
              <w:rPr>
                <w:rFonts w:ascii="Consolas" w:cs="Consolas" w:eastAsia="Consolas" w:hAnsi="Consolas"/>
                <w:b w:val="false"/>
                <w:bCs w:val="false"/>
                <w:sz w:val="19"/>
                <w:szCs w:val="19"/>
              </w:rPr>
              <w:t xml:space="preserve">set_status()</w:t>
            </w:r>
          </w:p>
        </w:tc>
        <w:tc>
          <w:tcPr>
            <w:tcW w:type="dxa" w:w="6460"/>
            <w:tcMar>
              <w:top w:type="dxa" w:w="80"/>
              <w:left w:type="dxa" w:w="110"/>
              <w:bottom w:type="dxa" w:w="80"/>
              <w:right w:type="dxa" w:w="110"/>
            </w:tcMar>
          </w:tcPr>
          <w:p>
            <w:r>
              <w:rPr>
                <w:b w:val="false"/>
                <w:bCs w:val="false"/>
                <w:sz w:val="19"/>
                <w:szCs w:val="19"/>
              </w:rPr>
              <w:t xml:space="preserve">Displays a message on the bottom line in the appropriate color: normal, error, or success.</w:t>
            </w:r>
          </w:p>
        </w:tc>
      </w:tr>
    </w:tbl>
    <w:p>
      <w:pPr>
        <w:spacing w:after="140"/>
      </w:pPr>
    </w:p>
    <w:p>
      <w:pPr>
        <w:spacing w:after="140"/>
      </w:pPr>
      <w:r>
        <w:rPr>
          <w:sz w:val="22"/>
          <w:szCs w:val="22"/>
        </w:rPr>
        <w:t xml:space="preserve">The Enter key is bound to calculate() so the user can work entirely from the keyboard, and the Escape key is bound to exit_full_screen() so the user can never become trapped in full screen with no visible way out.</w:t>
      </w:r>
    </w:p>
    <w:p>
      <w:pPr>
        <w:pStyle w:val="Heading1"/>
        <w:spacing w:after="140" w:before="260"/>
      </w:pPr>
      <w:r>
        <w:rPr>
          <w:b/>
          <w:bCs/>
          <w:color w:val="1A4F8B"/>
          <w:sz w:val="27"/>
          <w:szCs w:val="27"/>
        </w:rPr>
        <w:t xml:space="preserve">6. The Color Scheme System</w:t>
      </w:r>
    </w:p>
    <w:p>
      <w:pPr>
        <w:spacing w:after="140"/>
      </w:pPr>
      <w:r>
        <w:rPr>
          <w:sz w:val="22"/>
          <w:szCs w:val="22"/>
        </w:rPr>
        <w:t xml:space="preserve">Four color schemes are provided. The user can switch between them at any time, either from the Color scheme drop-down in the window or from the View menu; both are kept in step automatically because they share the same underlying setting.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7360"/>
      </w:tblGrid>
      <w:tr>
        <w:trPr>
          <w:tblHeader/>
        </w:trPr>
        <w:tc>
          <w:tcPr>
            <w:tcW w:type="dxa" w:w="2000"/>
            <w:shd w:fill="E8EEF5" w:val="clear"/>
            <w:tcMar>
              <w:top w:type="dxa" w:w="80"/>
              <w:left w:type="dxa" w:w="110"/>
              <w:bottom w:type="dxa" w:w="80"/>
              <w:right w:type="dxa" w:w="110"/>
            </w:tcMar>
          </w:tcPr>
          <w:p>
            <w:r>
              <w:rPr>
                <w:b/>
                <w:bCs/>
                <w:sz w:val="19"/>
                <w:szCs w:val="19"/>
              </w:rPr>
              <w:t xml:space="preserve">Scheme</w:t>
            </w:r>
          </w:p>
        </w:tc>
        <w:tc>
          <w:tcPr>
            <w:tcW w:type="dxa" w:w="7360"/>
            <w:shd w:fill="E8EEF5" w:val="clear"/>
            <w:tcMar>
              <w:top w:type="dxa" w:w="80"/>
              <w:left w:type="dxa" w:w="110"/>
              <w:bottom w:type="dxa" w:w="80"/>
              <w:right w:type="dxa" w:w="110"/>
            </w:tcMar>
          </w:tcPr>
          <w:p>
            <w:r>
              <w:rPr>
                <w:b/>
                <w:bCs/>
                <w:sz w:val="19"/>
                <w:szCs w:val="19"/>
              </w:rPr>
              <w:t xml:space="preserve">Intended use</w:t>
            </w:r>
          </w:p>
        </w:tc>
      </w:tr>
      <w:tr>
        <w:trPr>
          <w:tblHeader w:val="false"/>
        </w:trPr>
        <w:tc>
          <w:tcPr>
            <w:tcW w:type="dxa" w:w="2000"/>
            <w:tcMar>
              <w:top w:type="dxa" w:w="80"/>
              <w:left w:type="dxa" w:w="110"/>
              <w:bottom w:type="dxa" w:w="80"/>
              <w:right w:type="dxa" w:w="110"/>
            </w:tcMar>
          </w:tcPr>
          <w:p>
            <w:r>
              <w:rPr>
                <w:rFonts w:ascii="Consolas" w:cs="Consolas" w:eastAsia="Consolas" w:hAnsi="Consolas"/>
                <w:b w:val="false"/>
                <w:bCs w:val="false"/>
                <w:sz w:val="19"/>
                <w:szCs w:val="19"/>
              </w:rPr>
              <w:t xml:space="preserve">Light</w:t>
            </w:r>
          </w:p>
        </w:tc>
        <w:tc>
          <w:tcPr>
            <w:tcW w:type="dxa" w:w="7360"/>
            <w:tcMar>
              <w:top w:type="dxa" w:w="80"/>
              <w:left w:type="dxa" w:w="110"/>
              <w:bottom w:type="dxa" w:w="80"/>
              <w:right w:type="dxa" w:w="110"/>
            </w:tcMar>
          </w:tcPr>
          <w:p>
            <w:r>
              <w:rPr>
                <w:b w:val="false"/>
                <w:bCs w:val="false"/>
                <w:sz w:val="19"/>
                <w:szCs w:val="19"/>
              </w:rPr>
              <w:t xml:space="preserve">The default. A neutral gray and blue scheme for ordinary indoor lighting.</w:t>
            </w:r>
          </w:p>
        </w:tc>
      </w:tr>
      <w:tr>
        <w:trPr>
          <w:tblHeader w:val="false"/>
        </w:trPr>
        <w:tc>
          <w:tcPr>
            <w:tcW w:type="dxa" w:w="2000"/>
            <w:tcMar>
              <w:top w:type="dxa" w:w="80"/>
              <w:left w:type="dxa" w:w="110"/>
              <w:bottom w:type="dxa" w:w="80"/>
              <w:right w:type="dxa" w:w="110"/>
            </w:tcMar>
          </w:tcPr>
          <w:p>
            <w:r>
              <w:rPr>
                <w:rFonts w:ascii="Consolas" w:cs="Consolas" w:eastAsia="Consolas" w:hAnsi="Consolas"/>
                <w:b w:val="false"/>
                <w:bCs w:val="false"/>
                <w:sz w:val="19"/>
                <w:szCs w:val="19"/>
              </w:rPr>
              <w:t xml:space="preserve">Dark</w:t>
            </w:r>
          </w:p>
        </w:tc>
        <w:tc>
          <w:tcPr>
            <w:tcW w:type="dxa" w:w="7360"/>
            <w:tcMar>
              <w:top w:type="dxa" w:w="80"/>
              <w:left w:type="dxa" w:w="110"/>
              <w:bottom w:type="dxa" w:w="80"/>
              <w:right w:type="dxa" w:w="110"/>
            </w:tcMar>
          </w:tcPr>
          <w:p>
            <w:r>
              <w:rPr>
                <w:b w:val="false"/>
                <w:bCs w:val="false"/>
                <w:sz w:val="19"/>
                <w:szCs w:val="19"/>
              </w:rPr>
              <w:t xml:space="preserve">A dark scheme that is easier on the eyes in low light.</w:t>
            </w:r>
          </w:p>
        </w:tc>
      </w:tr>
      <w:tr>
        <w:trPr>
          <w:tblHeader w:val="false"/>
        </w:trPr>
        <w:tc>
          <w:tcPr>
            <w:tcW w:type="dxa" w:w="2000"/>
            <w:tcMar>
              <w:top w:type="dxa" w:w="80"/>
              <w:left w:type="dxa" w:w="110"/>
              <w:bottom w:type="dxa" w:w="80"/>
              <w:right w:type="dxa" w:w="110"/>
            </w:tcMar>
          </w:tcPr>
          <w:p>
            <w:r>
              <w:rPr>
                <w:rFonts w:ascii="Consolas" w:cs="Consolas" w:eastAsia="Consolas" w:hAnsi="Consolas"/>
                <w:b w:val="false"/>
                <w:bCs w:val="false"/>
                <w:sz w:val="19"/>
                <w:szCs w:val="19"/>
              </w:rPr>
              <w:t xml:space="preserve">Ocean</w:t>
            </w:r>
          </w:p>
        </w:tc>
        <w:tc>
          <w:tcPr>
            <w:tcW w:type="dxa" w:w="7360"/>
            <w:tcMar>
              <w:top w:type="dxa" w:w="80"/>
              <w:left w:type="dxa" w:w="110"/>
              <w:bottom w:type="dxa" w:w="80"/>
              <w:right w:type="dxa" w:w="110"/>
            </w:tcMar>
          </w:tcPr>
          <w:p>
            <w:r>
              <w:rPr>
                <w:b w:val="false"/>
                <w:bCs w:val="false"/>
                <w:sz w:val="19"/>
                <w:szCs w:val="19"/>
              </w:rPr>
              <w:t xml:space="preserve">A soft blue-green scheme, in keeping with the water theme.</w:t>
            </w:r>
          </w:p>
        </w:tc>
      </w:tr>
      <w:tr>
        <w:trPr>
          <w:tblHeader w:val="false"/>
        </w:trPr>
        <w:tc>
          <w:tcPr>
            <w:tcW w:type="dxa" w:w="2000"/>
            <w:tcMar>
              <w:top w:type="dxa" w:w="80"/>
              <w:left w:type="dxa" w:w="110"/>
              <w:bottom w:type="dxa" w:w="80"/>
              <w:right w:type="dxa" w:w="110"/>
            </w:tcMar>
          </w:tcPr>
          <w:p>
            <w:r>
              <w:rPr>
                <w:rFonts w:ascii="Consolas" w:cs="Consolas" w:eastAsia="Consolas" w:hAnsi="Consolas"/>
                <w:b w:val="false"/>
                <w:bCs w:val="false"/>
                <w:sz w:val="19"/>
                <w:szCs w:val="19"/>
              </w:rPr>
              <w:t xml:space="preserve">High Contrast</w:t>
            </w:r>
          </w:p>
        </w:tc>
        <w:tc>
          <w:tcPr>
            <w:tcW w:type="dxa" w:w="7360"/>
            <w:tcMar>
              <w:top w:type="dxa" w:w="80"/>
              <w:left w:type="dxa" w:w="110"/>
              <w:bottom w:type="dxa" w:w="80"/>
              <w:right w:type="dxa" w:w="110"/>
            </w:tcMar>
          </w:tcPr>
          <w:p>
            <w:r>
              <w:rPr>
                <w:b w:val="false"/>
                <w:bCs w:val="false"/>
                <w:sz w:val="19"/>
                <w:szCs w:val="19"/>
              </w:rPr>
              <w:t xml:space="preserve">Black with yellow text, for maximum legibility and accessibility.</w:t>
            </w:r>
          </w:p>
        </w:tc>
      </w:tr>
    </w:tbl>
    <w:p>
      <w:pPr>
        <w:spacing w:after="140"/>
      </w:pPr>
    </w:p>
    <w:p>
      <w:pPr>
        <w:pStyle w:val="Heading2"/>
        <w:spacing w:after="100" w:before="180"/>
      </w:pPr>
      <w:r>
        <w:rPr>
          <w:b/>
          <w:bCs/>
          <w:color w:val="2E2E2E"/>
          <w:sz w:val="23"/>
          <w:szCs w:val="23"/>
        </w:rPr>
        <w:t xml:space="preserve">6.1 How a Theme Is Defined</w:t>
      </w:r>
    </w:p>
    <w:p>
      <w:pPr>
        <w:spacing w:after="140"/>
      </w:pPr>
      <w:r>
        <w:rPr>
          <w:sz w:val="22"/>
          <w:szCs w:val="22"/>
        </w:rPr>
        <w:t xml:space="preserve">Each scheme is a dictionary of named colors stored in the THEMES dictionary. Every scheme defines the same set of keys, so apply_theme() can always rely on a key being present. Adding a fifth color scheme requires no new code at all - only a new entry in THEMES, which the drop-down and the View menu will both pick up automatically because they are built by looping over that dictionary.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7460"/>
      </w:tblGrid>
      <w:tr>
        <w:trPr>
          <w:tblHeader/>
        </w:trPr>
        <w:tc>
          <w:tcPr>
            <w:tcW w:type="dxa" w:w="1900"/>
            <w:shd w:fill="E8EEF5" w:val="clear"/>
            <w:tcMar>
              <w:top w:type="dxa" w:w="80"/>
              <w:left w:type="dxa" w:w="110"/>
              <w:bottom w:type="dxa" w:w="80"/>
              <w:right w:type="dxa" w:w="110"/>
            </w:tcMar>
          </w:tcPr>
          <w:p>
            <w:r>
              <w:rPr>
                <w:b/>
                <w:bCs/>
                <w:sz w:val="19"/>
                <w:szCs w:val="19"/>
              </w:rPr>
              <w:t xml:space="preserve">Key</w:t>
            </w:r>
          </w:p>
        </w:tc>
        <w:tc>
          <w:tcPr>
            <w:tcW w:type="dxa" w:w="7460"/>
            <w:shd w:fill="E8EEF5" w:val="clear"/>
            <w:tcMar>
              <w:top w:type="dxa" w:w="80"/>
              <w:left w:type="dxa" w:w="110"/>
              <w:bottom w:type="dxa" w:w="80"/>
              <w:right w:type="dxa" w:w="110"/>
            </w:tcMar>
          </w:tcPr>
          <w:p>
            <w:r>
              <w:rPr>
                <w:b/>
                <w:bCs/>
                <w:sz w:val="19"/>
                <w:szCs w:val="19"/>
              </w:rPr>
              <w:t xml:space="preserve">Applies to</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bg</w:t>
            </w:r>
          </w:p>
        </w:tc>
        <w:tc>
          <w:tcPr>
            <w:tcW w:type="dxa" w:w="7460"/>
            <w:tcMar>
              <w:top w:type="dxa" w:w="80"/>
              <w:left w:type="dxa" w:w="110"/>
              <w:bottom w:type="dxa" w:w="80"/>
              <w:right w:type="dxa" w:w="110"/>
            </w:tcMar>
          </w:tcPr>
          <w:p>
            <w:r>
              <w:rPr>
                <w:b w:val="false"/>
                <w:bCs w:val="false"/>
                <w:sz w:val="19"/>
                <w:szCs w:val="19"/>
              </w:rPr>
              <w:t xml:space="preserve">Window and frame backgrounds.</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fg</w:t>
            </w:r>
          </w:p>
        </w:tc>
        <w:tc>
          <w:tcPr>
            <w:tcW w:type="dxa" w:w="7460"/>
            <w:tcMar>
              <w:top w:type="dxa" w:w="80"/>
              <w:left w:type="dxa" w:w="110"/>
              <w:bottom w:type="dxa" w:w="80"/>
              <w:right w:type="dxa" w:w="110"/>
            </w:tcMar>
          </w:tcPr>
          <w:p>
            <w:r>
              <w:rPr>
                <w:b w:val="false"/>
                <w:bCs w:val="false"/>
                <w:sz w:val="19"/>
                <w:szCs w:val="19"/>
              </w:rPr>
              <w:t xml:space="preserve">Ordinary text.</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accent</w:t>
            </w:r>
          </w:p>
        </w:tc>
        <w:tc>
          <w:tcPr>
            <w:tcW w:type="dxa" w:w="7460"/>
            <w:tcMar>
              <w:top w:type="dxa" w:w="80"/>
              <w:left w:type="dxa" w:w="110"/>
              <w:bottom w:type="dxa" w:w="80"/>
              <w:right w:type="dxa" w:w="110"/>
            </w:tcMar>
          </w:tcPr>
          <w:p>
            <w:r>
              <w:rPr>
                <w:b w:val="false"/>
                <w:bCs w:val="false"/>
                <w:sz w:val="19"/>
                <w:szCs w:val="19"/>
              </w:rPr>
              <w:t xml:space="preserve">Titles and section headings.</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entry_bg / entry_fg</w:t>
            </w:r>
          </w:p>
        </w:tc>
        <w:tc>
          <w:tcPr>
            <w:tcW w:type="dxa" w:w="7460"/>
            <w:tcMar>
              <w:top w:type="dxa" w:w="80"/>
              <w:left w:type="dxa" w:w="110"/>
              <w:bottom w:type="dxa" w:w="80"/>
              <w:right w:type="dxa" w:w="110"/>
            </w:tcMar>
          </w:tcPr>
          <w:p>
            <w:r>
              <w:rPr>
                <w:b w:val="false"/>
                <w:bCs w:val="false"/>
                <w:sz w:val="19"/>
                <w:szCs w:val="19"/>
              </w:rPr>
              <w:t xml:space="preserve">The background and text of the input boxes.</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panel_bg</w:t>
            </w:r>
          </w:p>
        </w:tc>
        <w:tc>
          <w:tcPr>
            <w:tcW w:type="dxa" w:w="7460"/>
            <w:tcMar>
              <w:top w:type="dxa" w:w="80"/>
              <w:left w:type="dxa" w:w="110"/>
              <w:bottom w:type="dxa" w:w="80"/>
              <w:right w:type="dxa" w:w="110"/>
            </w:tcMar>
          </w:tcPr>
          <w:p>
            <w:r>
              <w:rPr>
                <w:b w:val="false"/>
                <w:bCs w:val="false"/>
                <w:sz w:val="19"/>
                <w:szCs w:val="19"/>
              </w:rPr>
              <w:t xml:space="preserve">The background of the results panel.</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button_bg / button_fg</w:t>
            </w:r>
          </w:p>
        </w:tc>
        <w:tc>
          <w:tcPr>
            <w:tcW w:type="dxa" w:w="7460"/>
            <w:tcMar>
              <w:top w:type="dxa" w:w="80"/>
              <w:left w:type="dxa" w:w="110"/>
              <w:bottom w:type="dxa" w:w="80"/>
              <w:right w:type="dxa" w:w="110"/>
            </w:tcMar>
          </w:tcPr>
          <w:p>
            <w:r>
              <w:rPr>
                <w:b w:val="false"/>
                <w:bCs w:val="false"/>
                <w:sz w:val="19"/>
                <w:szCs w:val="19"/>
              </w:rPr>
              <w:t xml:space="preserve">Button background and button text.</w:t>
            </w:r>
          </w:p>
        </w:tc>
      </w:tr>
      <w:tr>
        <w:trPr>
          <w:tblHeader w:val="false"/>
        </w:trPr>
        <w:tc>
          <w:tcPr>
            <w:tcW w:type="dxa" w:w="1900"/>
            <w:tcMar>
              <w:top w:type="dxa" w:w="80"/>
              <w:left w:type="dxa" w:w="110"/>
              <w:bottom w:type="dxa" w:w="80"/>
              <w:right w:type="dxa" w:w="110"/>
            </w:tcMar>
          </w:tcPr>
          <w:p>
            <w:r>
              <w:rPr>
                <w:rFonts w:ascii="Consolas" w:cs="Consolas" w:eastAsia="Consolas" w:hAnsi="Consolas"/>
                <w:b w:val="false"/>
                <w:bCs w:val="false"/>
                <w:sz w:val="19"/>
                <w:szCs w:val="19"/>
              </w:rPr>
              <w:t xml:space="preserve">error_fg / ok_fg</w:t>
            </w:r>
          </w:p>
        </w:tc>
        <w:tc>
          <w:tcPr>
            <w:tcW w:type="dxa" w:w="7460"/>
            <w:tcMar>
              <w:top w:type="dxa" w:w="80"/>
              <w:left w:type="dxa" w:w="110"/>
              <w:bottom w:type="dxa" w:w="80"/>
              <w:right w:type="dxa" w:w="110"/>
            </w:tcMar>
          </w:tcPr>
          <w:p>
            <w:r>
              <w:rPr>
                <w:b w:val="false"/>
                <w:bCs w:val="false"/>
                <w:sz w:val="19"/>
                <w:szCs w:val="19"/>
              </w:rPr>
              <w:t xml:space="preserve">Status line text for errors and for success.</w:t>
            </w:r>
          </w:p>
        </w:tc>
      </w:tr>
    </w:tbl>
    <w:p>
      <w:pPr>
        <w:spacing w:after="140"/>
      </w:pPr>
    </w:p>
    <w:p>
      <w:pPr>
        <w:pStyle w:val="Heading2"/>
        <w:spacing w:after="100" w:before="180"/>
      </w:pPr>
      <w:r>
        <w:rPr>
          <w:b/>
          <w:bCs/>
          <w:color w:val="2E2E2E"/>
          <w:sz w:val="23"/>
          <w:szCs w:val="23"/>
        </w:rPr>
        <w:t xml:space="preserve">6.2 How a Theme Is Applied</w:t>
      </w:r>
    </w:p>
    <w:p>
      <w:pPr>
        <w:spacing w:after="140"/>
      </w:pPr>
      <w:r>
        <w:rPr>
          <w:sz w:val="22"/>
          <w:szCs w:val="22"/>
        </w:rPr>
        <w:t xml:space="preserve">As each widget is created, it is registered in a list according to the role it plays in the interface - frame, ordinary text, heading, input box, button, panel, or drop-down. When the user selects a new scheme, apply_theme() walks those lists and gives each widget only the color options that its role actually supports.</w:t>
      </w:r>
    </w:p>
    <w:p>
      <w:pPr>
        <w:spacing w:after="140"/>
      </w:pPr>
      <w:r>
        <w:rPr>
          <w:sz w:val="22"/>
          <w:szCs w:val="22"/>
        </w:rPr>
        <w:t xml:space="preserve">Registering widgets by role, rather than crawling the window and inspecting each widget's type, is a deliberate choice. Type inspection is fragile, because widget classes inherit from one another and a check meant for one kind of widget can quietly catch another kind that does not accept the same options. The role lists remove that whole class of failure: a widget can only ever be handed the options it was registered to receive.</w:t>
      </w:r>
    </w:p>
    <w:p>
      <w:pPr>
        <w:pStyle w:val="Heading2"/>
        <w:spacing w:after="100" w:before="180"/>
      </w:pPr>
      <w:r>
        <w:rPr>
          <w:b/>
          <w:bCs/>
          <w:color w:val="2E2E2E"/>
          <w:sz w:val="23"/>
          <w:szCs w:val="23"/>
        </w:rPr>
        <w:t xml:space="preserve">6.3 Why the Program Uses No ttk Widgets</w:t>
      </w:r>
    </w:p>
    <w:p>
      <w:pPr>
        <w:spacing w:after="140"/>
      </w:pPr>
      <w:r>
        <w:rPr>
          <w:sz w:val="22"/>
          <w:szCs w:val="22"/>
        </w:rPr>
        <w:t xml:space="preserve">The program deliberately uses only the classic tkinter widgets (tk.Label, tk.Entry, tk.Button, tk.OptionMenu) and none of the themed ttk widgets. The reason is direct: ttk widgets do not accept the bg and fg options, and attempting to recolor one raises a TclError at run time. Because a user-selectable color scheme is a required feature of this program, every widget in the window has to be recolorable. tk.OptionMenu is therefore used in place of ttk.Combobox for the two drop-downs.</w:t>
      </w:r>
    </w:p>
    <w:p>
      <w:pPr>
        <w:spacing w:after="140"/>
      </w:pPr>
      <w:r>
        <w:rPr>
          <w:sz w:val="22"/>
          <w:szCs w:val="22"/>
        </w:rPr>
        <w:t xml:space="preserve">One subtlety is worth recording. A tk.OptionMenu is really two widgets: the button the user clicks, and the pop-up menu it opens. Coloring only the button leaves the pop-up in the old scheme, so apply_theme() colors both.</w:t>
      </w:r>
    </w:p>
    <w:p>
      <w:pPr>
        <w:pStyle w:val="Heading1"/>
        <w:spacing w:after="140" w:before="260"/>
      </w:pPr>
      <w:r>
        <w:rPr>
          <w:b/>
          <w:bCs/>
          <w:color w:val="1A4F8B"/>
          <w:sz w:val="27"/>
          <w:szCs w:val="27"/>
        </w:rPr>
        <w:t xml:space="preserve">7. The Window Size System</w:t>
      </w:r>
    </w:p>
    <w:p>
      <w:pPr>
        <w:spacing w:after="140"/>
      </w:pPr>
      <w:r>
        <w:rPr>
          <w:sz w:val="22"/>
          <w:szCs w:val="22"/>
        </w:rPr>
        <w:t xml:space="preserve">Four window settings are offered, again from either the drop-down in the window or the View menu.</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4760"/>
      </w:tblGrid>
      <w:tr>
        <w:trPr>
          <w:tblHeader/>
        </w:trPr>
        <w:tc>
          <w:tcPr>
            <w:tcW w:type="dxa" w:w="2400"/>
            <w:shd w:fill="E8EEF5" w:val="clear"/>
            <w:tcMar>
              <w:top w:type="dxa" w:w="80"/>
              <w:left w:type="dxa" w:w="110"/>
              <w:bottom w:type="dxa" w:w="80"/>
              <w:right w:type="dxa" w:w="110"/>
            </w:tcMar>
          </w:tcPr>
          <w:p>
            <w:r>
              <w:rPr>
                <w:b/>
                <w:bCs/>
                <w:sz w:val="19"/>
                <w:szCs w:val="19"/>
              </w:rPr>
              <w:t xml:space="preserve">Setting</w:t>
            </w:r>
          </w:p>
        </w:tc>
        <w:tc>
          <w:tcPr>
            <w:tcW w:type="dxa" w:w="2200"/>
            <w:shd w:fill="E8EEF5" w:val="clear"/>
            <w:tcMar>
              <w:top w:type="dxa" w:w="80"/>
              <w:left w:type="dxa" w:w="110"/>
              <w:bottom w:type="dxa" w:w="80"/>
              <w:right w:type="dxa" w:w="110"/>
            </w:tcMar>
          </w:tcPr>
          <w:p>
            <w:r>
              <w:rPr>
                <w:b/>
                <w:bCs/>
                <w:sz w:val="19"/>
                <w:szCs w:val="19"/>
              </w:rPr>
              <w:t xml:space="preserve">Geometry</w:t>
            </w:r>
          </w:p>
        </w:tc>
        <w:tc>
          <w:tcPr>
            <w:tcW w:type="dxa" w:w="4760"/>
            <w:shd w:fill="E8EEF5" w:val="clear"/>
            <w:tcMar>
              <w:top w:type="dxa" w:w="80"/>
              <w:left w:type="dxa" w:w="110"/>
              <w:bottom w:type="dxa" w:w="80"/>
              <w:right w:type="dxa" w:w="110"/>
            </w:tcMar>
          </w:tcPr>
          <w:p>
            <w:r>
              <w:rPr>
                <w:b/>
                <w:bCs/>
                <w:sz w:val="19"/>
                <w:szCs w:val="19"/>
              </w:rPr>
              <w:t xml:space="preserve">Notes</w:t>
            </w:r>
          </w:p>
        </w:tc>
      </w:tr>
      <w:tr>
        <w:trPr>
          <w:tblHeader w:val="false"/>
        </w:trPr>
        <w:tc>
          <w:tcPr>
            <w:tcW w:type="dxa" w:w="2400"/>
            <w:tcMar>
              <w:top w:type="dxa" w:w="80"/>
              <w:left w:type="dxa" w:w="110"/>
              <w:bottom w:type="dxa" w:w="80"/>
              <w:right w:type="dxa" w:w="110"/>
            </w:tcMar>
          </w:tcPr>
          <w:p>
            <w:r>
              <w:rPr>
                <w:b w:val="false"/>
                <w:bCs w:val="false"/>
                <w:sz w:val="19"/>
                <w:szCs w:val="19"/>
              </w:rPr>
              <w:t xml:space="preserve">Small Window</w:t>
            </w:r>
          </w:p>
        </w:tc>
        <w:tc>
          <w:tcPr>
            <w:tcW w:type="dxa" w:w="2200"/>
            <w:tcMar>
              <w:top w:type="dxa" w:w="80"/>
              <w:left w:type="dxa" w:w="110"/>
              <w:bottom w:type="dxa" w:w="80"/>
              <w:right w:type="dxa" w:w="110"/>
            </w:tcMar>
          </w:tcPr>
          <w:p>
            <w:r>
              <w:rPr>
                <w:rFonts w:ascii="Consolas" w:cs="Consolas" w:eastAsia="Consolas" w:hAnsi="Consolas"/>
                <w:b w:val="false"/>
                <w:bCs w:val="false"/>
                <w:sz w:val="19"/>
                <w:szCs w:val="19"/>
              </w:rPr>
              <w:t xml:space="preserve">560 x 600</w:t>
            </w:r>
          </w:p>
        </w:tc>
        <w:tc>
          <w:tcPr>
            <w:tcW w:type="dxa" w:w="4760"/>
            <w:tcMar>
              <w:top w:type="dxa" w:w="80"/>
              <w:left w:type="dxa" w:w="110"/>
              <w:bottom w:type="dxa" w:w="80"/>
              <w:right w:type="dxa" w:w="110"/>
            </w:tcMar>
          </w:tcPr>
          <w:p>
            <w:r>
              <w:rPr>
                <w:b w:val="false"/>
                <w:bCs w:val="false"/>
                <w:sz w:val="19"/>
                <w:szCs w:val="19"/>
              </w:rPr>
              <w:t xml:space="preserve">A compact window for a crowded desktop.</w:t>
            </w:r>
          </w:p>
        </w:tc>
      </w:tr>
      <w:tr>
        <w:trPr>
          <w:tblHeader w:val="false"/>
        </w:trPr>
        <w:tc>
          <w:tcPr>
            <w:tcW w:type="dxa" w:w="2400"/>
            <w:tcMar>
              <w:top w:type="dxa" w:w="80"/>
              <w:left w:type="dxa" w:w="110"/>
              <w:bottom w:type="dxa" w:w="80"/>
              <w:right w:type="dxa" w:w="110"/>
            </w:tcMar>
          </w:tcPr>
          <w:p>
            <w:r>
              <w:rPr>
                <w:b w:val="false"/>
                <w:bCs w:val="false"/>
                <w:sz w:val="19"/>
                <w:szCs w:val="19"/>
              </w:rPr>
              <w:t xml:space="preserve">Medium Window</w:t>
            </w:r>
          </w:p>
        </w:tc>
        <w:tc>
          <w:tcPr>
            <w:tcW w:type="dxa" w:w="2200"/>
            <w:tcMar>
              <w:top w:type="dxa" w:w="80"/>
              <w:left w:type="dxa" w:w="110"/>
              <w:bottom w:type="dxa" w:w="80"/>
              <w:right w:type="dxa" w:w="110"/>
            </w:tcMar>
          </w:tcPr>
          <w:p>
            <w:r>
              <w:rPr>
                <w:rFonts w:ascii="Consolas" w:cs="Consolas" w:eastAsia="Consolas" w:hAnsi="Consolas"/>
                <w:b w:val="false"/>
                <w:bCs w:val="false"/>
                <w:sz w:val="19"/>
                <w:szCs w:val="19"/>
              </w:rPr>
              <w:t xml:space="preserve">760 x 700</w:t>
            </w:r>
          </w:p>
        </w:tc>
        <w:tc>
          <w:tcPr>
            <w:tcW w:type="dxa" w:w="4760"/>
            <w:tcMar>
              <w:top w:type="dxa" w:w="80"/>
              <w:left w:type="dxa" w:w="110"/>
              <w:bottom w:type="dxa" w:w="80"/>
              <w:right w:type="dxa" w:w="110"/>
            </w:tcMar>
          </w:tcPr>
          <w:p>
            <w:r>
              <w:rPr>
                <w:b w:val="false"/>
                <w:bCs w:val="false"/>
                <w:sz w:val="19"/>
                <w:szCs w:val="19"/>
              </w:rPr>
              <w:t xml:space="preserve">The default size.</w:t>
            </w:r>
          </w:p>
        </w:tc>
      </w:tr>
      <w:tr>
        <w:trPr>
          <w:tblHeader w:val="false"/>
        </w:trPr>
        <w:tc>
          <w:tcPr>
            <w:tcW w:type="dxa" w:w="2400"/>
            <w:tcMar>
              <w:top w:type="dxa" w:w="80"/>
              <w:left w:type="dxa" w:w="110"/>
              <w:bottom w:type="dxa" w:w="80"/>
              <w:right w:type="dxa" w:w="110"/>
            </w:tcMar>
          </w:tcPr>
          <w:p>
            <w:r>
              <w:rPr>
                <w:b w:val="false"/>
                <w:bCs w:val="false"/>
                <w:sz w:val="19"/>
                <w:szCs w:val="19"/>
              </w:rPr>
              <w:t xml:space="preserve">Large Window</w:t>
            </w:r>
          </w:p>
        </w:tc>
        <w:tc>
          <w:tcPr>
            <w:tcW w:type="dxa" w:w="2200"/>
            <w:tcMar>
              <w:top w:type="dxa" w:w="80"/>
              <w:left w:type="dxa" w:w="110"/>
              <w:bottom w:type="dxa" w:w="80"/>
              <w:right w:type="dxa" w:w="110"/>
            </w:tcMar>
          </w:tcPr>
          <w:p>
            <w:r>
              <w:rPr>
                <w:rFonts w:ascii="Consolas" w:cs="Consolas" w:eastAsia="Consolas" w:hAnsi="Consolas"/>
                <w:b w:val="false"/>
                <w:bCs w:val="false"/>
                <w:sz w:val="19"/>
                <w:szCs w:val="19"/>
              </w:rPr>
              <w:t xml:space="preserve">1000 x 800</w:t>
            </w:r>
          </w:p>
        </w:tc>
        <w:tc>
          <w:tcPr>
            <w:tcW w:type="dxa" w:w="4760"/>
            <w:tcMar>
              <w:top w:type="dxa" w:w="80"/>
              <w:left w:type="dxa" w:w="110"/>
              <w:bottom w:type="dxa" w:w="80"/>
              <w:right w:type="dxa" w:w="110"/>
            </w:tcMar>
          </w:tcPr>
          <w:p>
            <w:r>
              <w:rPr>
                <w:b w:val="false"/>
                <w:bCs w:val="false"/>
                <w:sz w:val="19"/>
                <w:szCs w:val="19"/>
              </w:rPr>
              <w:t xml:space="preserve">A roomier window for a large monitor.</w:t>
            </w:r>
          </w:p>
        </w:tc>
      </w:tr>
      <w:tr>
        <w:trPr>
          <w:tblHeader w:val="false"/>
        </w:trPr>
        <w:tc>
          <w:tcPr>
            <w:tcW w:type="dxa" w:w="2400"/>
            <w:tcMar>
              <w:top w:type="dxa" w:w="80"/>
              <w:left w:type="dxa" w:w="110"/>
              <w:bottom w:type="dxa" w:w="80"/>
              <w:right w:type="dxa" w:w="110"/>
            </w:tcMar>
          </w:tcPr>
          <w:p>
            <w:r>
              <w:rPr>
                <w:b w:val="false"/>
                <w:bCs w:val="false"/>
                <w:sz w:val="19"/>
                <w:szCs w:val="19"/>
              </w:rPr>
              <w:t xml:space="preserve">Full Screen</w:t>
            </w:r>
          </w:p>
        </w:tc>
        <w:tc>
          <w:tcPr>
            <w:tcW w:type="dxa" w:w="2200"/>
            <w:tcMar>
              <w:top w:type="dxa" w:w="80"/>
              <w:left w:type="dxa" w:w="110"/>
              <w:bottom w:type="dxa" w:w="80"/>
              <w:right w:type="dxa" w:w="110"/>
            </w:tcMar>
          </w:tcPr>
          <w:p>
            <w:r>
              <w:rPr>
                <w:rFonts w:ascii="Consolas" w:cs="Consolas" w:eastAsia="Consolas" w:hAnsi="Consolas"/>
                <w:b w:val="false"/>
                <w:bCs w:val="false"/>
                <w:sz w:val="19"/>
                <w:szCs w:val="19"/>
              </w:rPr>
              <w:t xml:space="preserve">-</w:t>
            </w:r>
          </w:p>
        </w:tc>
        <w:tc>
          <w:tcPr>
            <w:tcW w:type="dxa" w:w="4760"/>
            <w:tcMar>
              <w:top w:type="dxa" w:w="80"/>
              <w:left w:type="dxa" w:w="110"/>
              <w:bottom w:type="dxa" w:w="80"/>
              <w:right w:type="dxa" w:w="110"/>
            </w:tcMar>
          </w:tcPr>
          <w:p>
            <w:r>
              <w:rPr>
                <w:b w:val="false"/>
                <w:bCs w:val="false"/>
                <w:sz w:val="19"/>
                <w:szCs w:val="19"/>
              </w:rPr>
              <w:t xml:space="preserve">Fills the entire display. Press Escape to return to a window.</w:t>
            </w:r>
          </w:p>
        </w:tc>
      </w:tr>
    </w:tbl>
    <w:p>
      <w:pPr>
        <w:spacing w:after="140"/>
      </w:pPr>
    </w:p>
    <w:p>
      <w:pPr>
        <w:spacing w:after="140"/>
      </w:pPr>
      <w:r>
        <w:rPr>
          <w:sz w:val="22"/>
          <w:szCs w:val="22"/>
        </w:rPr>
        <w:t xml:space="preserve">The three windowed sizes are applied with a geometry string. Full screen is different: it is set with a window attribute rather than a geometry, so it is handled as a special case inside set_window_size(). Switching from full screen back to a windowed size turns the attribute off first, because a geometry request is simply ignored while the window is still full screen.</w:t>
      </w:r>
    </w:p>
    <w:p>
      <w:pPr>
        <w:spacing w:after="140"/>
      </w:pPr>
      <w:r>
        <w:rPr>
          <w:sz w:val="22"/>
          <w:szCs w:val="22"/>
        </w:rPr>
        <w:t xml:space="preserve">The layout stretches rather than merely being cropped or padded. The input boxes and the results column are given a weight, so when the window grows - to full screen or to any other size - those columns absorb the extra width and the interface remains properly proportioned instead of huddling in the top-left corner. A minimum window size is also set, so the window cannot be dragged so small that the controls overlap.</w:t>
      </w:r>
    </w:p>
    <w:p>
      <w:pPr>
        <w:pStyle w:val="Heading1"/>
        <w:spacing w:after="140" w:before="260"/>
      </w:pPr>
      <w:r>
        <w:rPr>
          <w:b/>
          <w:bCs/>
          <w:color w:val="1A4F8B"/>
          <w:sz w:val="27"/>
          <w:szCs w:val="27"/>
        </w:rPr>
        <w:t xml:space="preserve">8. Input Validation and Range Checking</w:t>
      </w:r>
    </w:p>
    <w:p>
      <w:pPr>
        <w:spacing w:after="140"/>
      </w:pPr>
      <w:r>
        <w:rPr>
          <w:sz w:val="22"/>
          <w:szCs w:val="22"/>
        </w:rPr>
        <w:t xml:space="preserve">Both input boxes are checked by a single method, validate_dimension(), which applies three tests in order. The method returns the value as a number if every test passes, and returns nothing while posting an error message if any test fails.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2700"/>
        <w:gridCol w:w="4760"/>
      </w:tblGrid>
      <w:tr>
        <w:trPr>
          <w:tblHeader/>
        </w:trPr>
        <w:tc>
          <w:tcPr>
            <w:tcW w:type="dxa" w:w="1900"/>
            <w:shd w:fill="E8EEF5" w:val="clear"/>
            <w:tcMar>
              <w:top w:type="dxa" w:w="80"/>
              <w:left w:type="dxa" w:w="110"/>
              <w:bottom w:type="dxa" w:w="80"/>
              <w:right w:type="dxa" w:w="110"/>
            </w:tcMar>
          </w:tcPr>
          <w:p>
            <w:r>
              <w:rPr>
                <w:b/>
                <w:bCs/>
                <w:sz w:val="19"/>
                <w:szCs w:val="19"/>
              </w:rPr>
              <w:t xml:space="preserve">Test</w:t>
            </w:r>
          </w:p>
        </w:tc>
        <w:tc>
          <w:tcPr>
            <w:tcW w:type="dxa" w:w="2700"/>
            <w:shd w:fill="E8EEF5" w:val="clear"/>
            <w:tcMar>
              <w:top w:type="dxa" w:w="80"/>
              <w:left w:type="dxa" w:w="110"/>
              <w:bottom w:type="dxa" w:w="80"/>
              <w:right w:type="dxa" w:w="110"/>
            </w:tcMar>
          </w:tcPr>
          <w:p>
            <w:r>
              <w:rPr>
                <w:b/>
                <w:bCs/>
                <w:sz w:val="19"/>
                <w:szCs w:val="19"/>
              </w:rPr>
              <w:t xml:space="preserve">Rejects</w:t>
            </w:r>
          </w:p>
        </w:tc>
        <w:tc>
          <w:tcPr>
            <w:tcW w:type="dxa" w:w="4760"/>
            <w:shd w:fill="E8EEF5" w:val="clear"/>
            <w:tcMar>
              <w:top w:type="dxa" w:w="80"/>
              <w:left w:type="dxa" w:w="110"/>
              <w:bottom w:type="dxa" w:w="80"/>
              <w:right w:type="dxa" w:w="110"/>
            </w:tcMar>
          </w:tcPr>
          <w:p>
            <w:r>
              <w:rPr>
                <w:b/>
                <w:bCs/>
                <w:sz w:val="19"/>
                <w:szCs w:val="19"/>
              </w:rPr>
              <w:t xml:space="preserve">Message shown</w:t>
            </w:r>
          </w:p>
        </w:tc>
      </w:tr>
      <w:tr>
        <w:trPr>
          <w:tblHeader w:val="false"/>
        </w:trPr>
        <w:tc>
          <w:tcPr>
            <w:tcW w:type="dxa" w:w="1900"/>
            <w:tcMar>
              <w:top w:type="dxa" w:w="80"/>
              <w:left w:type="dxa" w:w="110"/>
              <w:bottom w:type="dxa" w:w="80"/>
              <w:right w:type="dxa" w:w="110"/>
            </w:tcMar>
          </w:tcPr>
          <w:p>
            <w:r>
              <w:rPr>
                <w:b w:val="false"/>
                <w:bCs w:val="false"/>
                <w:sz w:val="19"/>
                <w:szCs w:val="19"/>
              </w:rPr>
              <w:t xml:space="preserve">Presence</w:t>
            </w:r>
          </w:p>
        </w:tc>
        <w:tc>
          <w:tcPr>
            <w:tcW w:type="dxa" w:w="2700"/>
            <w:tcMar>
              <w:top w:type="dxa" w:w="80"/>
              <w:left w:type="dxa" w:w="110"/>
              <w:bottom w:type="dxa" w:w="80"/>
              <w:right w:type="dxa" w:w="110"/>
            </w:tcMar>
          </w:tcPr>
          <w:p>
            <w:r>
              <w:rPr>
                <w:b w:val="false"/>
                <w:bCs w:val="false"/>
                <w:sz w:val="19"/>
                <w:szCs w:val="19"/>
              </w:rPr>
              <w:t xml:space="preserve">An empty box</w:t>
            </w:r>
          </w:p>
        </w:tc>
        <w:tc>
          <w:tcPr>
            <w:tcW w:type="dxa" w:w="4760"/>
            <w:tcMar>
              <w:top w:type="dxa" w:w="80"/>
              <w:left w:type="dxa" w:w="110"/>
              <w:bottom w:type="dxa" w:w="80"/>
              <w:right w:type="dxa" w:w="110"/>
            </w:tcMar>
          </w:tcPr>
          <w:p>
            <w:r>
              <w:rPr>
                <w:b w:val="false"/>
                <w:bCs w:val="false"/>
                <w:sz w:val="19"/>
                <w:szCs w:val="19"/>
              </w:rPr>
              <w:t xml:space="preserve">Please enter a height. / ... a radius.</w:t>
            </w:r>
          </w:p>
        </w:tc>
      </w:tr>
      <w:tr>
        <w:trPr>
          <w:tblHeader w:val="false"/>
        </w:trPr>
        <w:tc>
          <w:tcPr>
            <w:tcW w:type="dxa" w:w="1900"/>
            <w:tcMar>
              <w:top w:type="dxa" w:w="80"/>
              <w:left w:type="dxa" w:w="110"/>
              <w:bottom w:type="dxa" w:w="80"/>
              <w:right w:type="dxa" w:w="110"/>
            </w:tcMar>
          </w:tcPr>
          <w:p>
            <w:r>
              <w:rPr>
                <w:b w:val="false"/>
                <w:bCs w:val="false"/>
                <w:sz w:val="19"/>
                <w:szCs w:val="19"/>
              </w:rPr>
              <w:t xml:space="preserve">Type</w:t>
            </w:r>
          </w:p>
        </w:tc>
        <w:tc>
          <w:tcPr>
            <w:tcW w:type="dxa" w:w="2700"/>
            <w:tcMar>
              <w:top w:type="dxa" w:w="80"/>
              <w:left w:type="dxa" w:w="110"/>
              <w:bottom w:type="dxa" w:w="80"/>
              <w:right w:type="dxa" w:w="110"/>
            </w:tcMar>
          </w:tcPr>
          <w:p>
            <w:r>
              <w:rPr>
                <w:b w:val="false"/>
                <w:bCs w:val="false"/>
                <w:sz w:val="19"/>
                <w:szCs w:val="19"/>
              </w:rPr>
              <w:t xml:space="preserve">Text that is not a number, such as abc</w:t>
            </w:r>
          </w:p>
        </w:tc>
        <w:tc>
          <w:tcPr>
            <w:tcW w:type="dxa" w:w="4760"/>
            <w:tcMar>
              <w:top w:type="dxa" w:w="80"/>
              <w:left w:type="dxa" w:w="110"/>
              <w:bottom w:type="dxa" w:w="80"/>
              <w:right w:type="dxa" w:w="110"/>
            </w:tcMar>
          </w:tcPr>
          <w:p>
            <w:r>
              <w:rPr>
                <w:b w:val="false"/>
                <w:bCs w:val="false"/>
                <w:sz w:val="19"/>
                <w:szCs w:val="19"/>
              </w:rPr>
              <w:t xml:space="preserve">The height must be a number.</w:t>
            </w:r>
          </w:p>
        </w:tc>
      </w:tr>
      <w:tr>
        <w:trPr>
          <w:tblHeader w:val="false"/>
        </w:trPr>
        <w:tc>
          <w:tcPr>
            <w:tcW w:type="dxa" w:w="1900"/>
            <w:tcMar>
              <w:top w:type="dxa" w:w="80"/>
              <w:left w:type="dxa" w:w="110"/>
              <w:bottom w:type="dxa" w:w="80"/>
              <w:right w:type="dxa" w:w="110"/>
            </w:tcMar>
          </w:tcPr>
          <w:p>
            <w:r>
              <w:rPr>
                <w:b w:val="false"/>
                <w:bCs w:val="false"/>
                <w:sz w:val="19"/>
                <w:szCs w:val="19"/>
              </w:rPr>
              <w:t xml:space="preserve">Range</w:t>
            </w:r>
          </w:p>
        </w:tc>
        <w:tc>
          <w:tcPr>
            <w:tcW w:type="dxa" w:w="2700"/>
            <w:tcMar>
              <w:top w:type="dxa" w:w="80"/>
              <w:left w:type="dxa" w:w="110"/>
              <w:bottom w:type="dxa" w:w="80"/>
              <w:right w:type="dxa" w:w="110"/>
            </w:tcMar>
          </w:tcPr>
          <w:p>
            <w:r>
              <w:rPr>
                <w:b w:val="false"/>
                <w:bCs w:val="false"/>
                <w:sz w:val="19"/>
                <w:szCs w:val="19"/>
              </w:rPr>
              <w:t xml:space="preserve">Zero and negative numbers</w:t>
            </w:r>
          </w:p>
        </w:tc>
        <w:tc>
          <w:tcPr>
            <w:tcW w:type="dxa" w:w="4760"/>
            <w:tcMar>
              <w:top w:type="dxa" w:w="80"/>
              <w:left w:type="dxa" w:w="110"/>
              <w:bottom w:type="dxa" w:w="80"/>
              <w:right w:type="dxa" w:w="110"/>
            </w:tcMar>
          </w:tcPr>
          <w:p>
            <w:r>
              <w:rPr>
                <w:b w:val="false"/>
                <w:bCs w:val="false"/>
                <w:sz w:val="19"/>
                <w:szCs w:val="19"/>
              </w:rPr>
              <w:t xml:space="preserve">The height must be greater than zero.</w:t>
            </w:r>
          </w:p>
        </w:tc>
      </w:tr>
    </w:tbl>
    <w:p>
      <w:pPr>
        <w:spacing w:after="140"/>
      </w:pPr>
    </w:p>
    <w:p>
      <w:pPr>
        <w:spacing w:after="140"/>
      </w:pPr>
      <w:r>
        <w:rPr>
          <w:sz w:val="22"/>
          <w:szCs w:val="22"/>
        </w:rPr>
        <w:t xml:space="preserve">The range test matters as much as the type test. A tank cannot have a height or a radius of zero or less, and a program that accepted a negative radius would cheerfully report a negative surface area - an answer that is arithmetically produced but physically meaningless. Rejecting the input is better than returning a confident nonsense figure.</w:t>
      </w:r>
    </w:p>
    <w:p>
      <w:pPr>
        <w:spacing w:after="140"/>
      </w:pPr>
      <w:r>
        <w:rPr>
          <w:sz w:val="22"/>
          <w:szCs w:val="22"/>
        </w:rPr>
        <w:t xml:space="preserve">Errors are reported on the status line at the bottom of the window rather than in a pop-up dialog box. A pop-up has to be dismissed before the user can do anything else; a status line lets the user simply correct the value and try again. When validation fails, the six results are blanked so that stale figures from a previous tank can never be mistaken for current ones, and the cursor is placed in the box that caused the problem.</w:t>
      </w:r>
    </w:p>
    <w:p>
      <w:pPr>
        <w:pStyle w:val="Heading1"/>
        <w:spacing w:after="140" w:before="260"/>
      </w:pPr>
      <w:r>
        <w:rPr>
          <w:b/>
          <w:bCs/>
          <w:color w:val="1A4F8B"/>
          <w:sz w:val="27"/>
          <w:szCs w:val="27"/>
        </w:rPr>
        <w:t xml:space="preserve">9. Verification</w:t>
      </w:r>
    </w:p>
    <w:p>
      <w:pPr>
        <w:spacing w:after="140"/>
      </w:pPr>
      <w:r>
        <w:rPr>
          <w:sz w:val="22"/>
          <w:szCs w:val="22"/>
        </w:rPr>
        <w:t xml:space="preserve">The program was tested with a tank 10 feet tall with a 5 foot radius. The graphical version produces figures identical to those of the original console version, confirming that the Tank class was carried over intact.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200"/>
        <w:gridCol w:w="2400"/>
        <w:gridCol w:w="2760"/>
      </w:tblGrid>
      <w:tr>
        <w:trPr>
          <w:tblHeader/>
        </w:trPr>
        <w:tc>
          <w:tcPr>
            <w:tcW w:type="dxa" w:w="4200"/>
            <w:shd w:fill="E8EEF5" w:val="clear"/>
            <w:tcMar>
              <w:top w:type="dxa" w:w="80"/>
              <w:left w:type="dxa" w:w="110"/>
              <w:bottom w:type="dxa" w:w="80"/>
              <w:right w:type="dxa" w:w="110"/>
            </w:tcMar>
          </w:tcPr>
          <w:p>
            <w:r>
              <w:rPr>
                <w:b/>
                <w:bCs/>
                <w:sz w:val="19"/>
                <w:szCs w:val="19"/>
              </w:rPr>
              <w:t xml:space="preserve">Output</w:t>
            </w:r>
          </w:p>
        </w:tc>
        <w:tc>
          <w:tcPr>
            <w:tcW w:type="dxa" w:w="2400"/>
            <w:shd w:fill="E8EEF5" w:val="clear"/>
            <w:tcMar>
              <w:top w:type="dxa" w:w="80"/>
              <w:left w:type="dxa" w:w="110"/>
              <w:bottom w:type="dxa" w:w="80"/>
              <w:right w:type="dxa" w:w="110"/>
            </w:tcMar>
          </w:tcPr>
          <w:p>
            <w:r>
              <w:rPr>
                <w:b/>
                <w:bCs/>
                <w:sz w:val="19"/>
                <w:szCs w:val="19"/>
              </w:rPr>
              <w:t xml:space="preserve">Result</w:t>
            </w:r>
          </w:p>
        </w:tc>
        <w:tc>
          <w:tcPr>
            <w:tcW w:type="dxa" w:w="2760"/>
            <w:shd w:fill="E8EEF5" w:val="clear"/>
            <w:tcMar>
              <w:top w:type="dxa" w:w="80"/>
              <w:left w:type="dxa" w:w="110"/>
              <w:bottom w:type="dxa" w:w="80"/>
              <w:right w:type="dxa" w:w="110"/>
            </w:tcMar>
          </w:tcPr>
          <w:p>
            <w:r>
              <w:rPr>
                <w:b/>
                <w:bCs/>
                <w:sz w:val="19"/>
                <w:szCs w:val="19"/>
              </w:rPr>
              <w:t xml:space="preserve">Unit</w:t>
            </w:r>
          </w:p>
        </w:tc>
      </w:tr>
      <w:tr>
        <w:trPr>
          <w:tblHeader w:val="false"/>
        </w:trPr>
        <w:tc>
          <w:tcPr>
            <w:tcW w:type="dxa" w:w="4200"/>
            <w:tcMar>
              <w:top w:type="dxa" w:w="80"/>
              <w:left w:type="dxa" w:w="110"/>
              <w:bottom w:type="dxa" w:w="80"/>
              <w:right w:type="dxa" w:w="110"/>
            </w:tcMar>
          </w:tcPr>
          <w:p>
            <w:r>
              <w:rPr>
                <w:b w:val="false"/>
                <w:bCs w:val="false"/>
                <w:sz w:val="19"/>
                <w:szCs w:val="19"/>
              </w:rPr>
              <w:t xml:space="preserve">Total volume</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785.40</w:t>
            </w:r>
          </w:p>
        </w:tc>
        <w:tc>
          <w:tcPr>
            <w:tcW w:type="dxa" w:w="2760"/>
            <w:tcMar>
              <w:top w:type="dxa" w:w="80"/>
              <w:left w:type="dxa" w:w="110"/>
              <w:bottom w:type="dxa" w:w="80"/>
              <w:right w:type="dxa" w:w="110"/>
            </w:tcMar>
          </w:tcPr>
          <w:p>
            <w:r>
              <w:rPr>
                <w:b w:val="false"/>
                <w:bCs w:val="false"/>
                <w:sz w:val="19"/>
                <w:szCs w:val="19"/>
              </w:rPr>
              <w:t xml:space="preserve">cubic feet</w:t>
            </w:r>
          </w:p>
        </w:tc>
      </w:tr>
      <w:tr>
        <w:trPr>
          <w:tblHeader w:val="false"/>
        </w:trPr>
        <w:tc>
          <w:tcPr>
            <w:tcW w:type="dxa" w:w="4200"/>
            <w:tcMar>
              <w:top w:type="dxa" w:w="80"/>
              <w:left w:type="dxa" w:w="110"/>
              <w:bottom w:type="dxa" w:w="80"/>
              <w:right w:type="dxa" w:w="110"/>
            </w:tcMar>
          </w:tcPr>
          <w:p>
            <w:r>
              <w:rPr>
                <w:b w:val="false"/>
                <w:bCs w:val="false"/>
                <w:sz w:val="19"/>
                <w:szCs w:val="19"/>
              </w:rPr>
              <w:t xml:space="preserve">Total volume</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5,875.19</w:t>
            </w:r>
          </w:p>
        </w:tc>
        <w:tc>
          <w:tcPr>
            <w:tcW w:type="dxa" w:w="2760"/>
            <w:tcMar>
              <w:top w:type="dxa" w:w="80"/>
              <w:left w:type="dxa" w:w="110"/>
              <w:bottom w:type="dxa" w:w="80"/>
              <w:right w:type="dxa" w:w="110"/>
            </w:tcMar>
          </w:tcPr>
          <w:p>
            <w:r>
              <w:rPr>
                <w:b w:val="false"/>
                <w:bCs w:val="false"/>
                <w:sz w:val="19"/>
                <w:szCs w:val="19"/>
              </w:rPr>
              <w:t xml:space="preserve">gallons</w:t>
            </w:r>
          </w:p>
        </w:tc>
      </w:tr>
      <w:tr>
        <w:trPr>
          <w:tblHeader w:val="false"/>
        </w:trPr>
        <w:tc>
          <w:tcPr>
            <w:tcW w:type="dxa" w:w="4200"/>
            <w:tcMar>
              <w:top w:type="dxa" w:w="80"/>
              <w:left w:type="dxa" w:w="110"/>
              <w:bottom w:type="dxa" w:w="80"/>
              <w:right w:type="dxa" w:w="110"/>
            </w:tcMar>
          </w:tcPr>
          <w:p>
            <w:r>
              <w:rPr>
                <w:b w:val="false"/>
                <w:bCs w:val="false"/>
                <w:sz w:val="19"/>
                <w:szCs w:val="19"/>
              </w:rPr>
              <w:t xml:space="preserve">Weight of water</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49,008.85</w:t>
            </w:r>
          </w:p>
        </w:tc>
        <w:tc>
          <w:tcPr>
            <w:tcW w:type="dxa" w:w="2760"/>
            <w:tcMar>
              <w:top w:type="dxa" w:w="80"/>
              <w:left w:type="dxa" w:w="110"/>
              <w:bottom w:type="dxa" w:w="80"/>
              <w:right w:type="dxa" w:w="110"/>
            </w:tcMar>
          </w:tcPr>
          <w:p>
            <w:r>
              <w:rPr>
                <w:b w:val="false"/>
                <w:bCs w:val="false"/>
                <w:sz w:val="19"/>
                <w:szCs w:val="19"/>
              </w:rPr>
              <w:t xml:space="preserve">pounds</w:t>
            </w:r>
          </w:p>
        </w:tc>
      </w:tr>
      <w:tr>
        <w:trPr>
          <w:tblHeader w:val="false"/>
        </w:trPr>
        <w:tc>
          <w:tcPr>
            <w:tcW w:type="dxa" w:w="4200"/>
            <w:tcMar>
              <w:top w:type="dxa" w:w="80"/>
              <w:left w:type="dxa" w:w="110"/>
              <w:bottom w:type="dxa" w:w="80"/>
              <w:right w:type="dxa" w:w="110"/>
            </w:tcMar>
          </w:tcPr>
          <w:p>
            <w:r>
              <w:rPr>
                <w:b w:val="false"/>
                <w:bCs w:val="false"/>
                <w:sz w:val="19"/>
                <w:szCs w:val="19"/>
              </w:rPr>
              <w:t xml:space="preserve">Top surface area</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78.54</w:t>
            </w:r>
          </w:p>
        </w:tc>
        <w:tc>
          <w:tcPr>
            <w:tcW w:type="dxa" w:w="2760"/>
            <w:tcMar>
              <w:top w:type="dxa" w:w="80"/>
              <w:left w:type="dxa" w:w="110"/>
              <w:bottom w:type="dxa" w:w="80"/>
              <w:right w:type="dxa" w:w="110"/>
            </w:tcMar>
          </w:tcPr>
          <w:p>
            <w:r>
              <w:rPr>
                <w:b w:val="false"/>
                <w:bCs w:val="false"/>
                <w:sz w:val="19"/>
                <w:szCs w:val="19"/>
              </w:rPr>
              <w:t xml:space="preserve">square feet</w:t>
            </w:r>
          </w:p>
        </w:tc>
      </w:tr>
      <w:tr>
        <w:trPr>
          <w:tblHeader w:val="false"/>
        </w:trPr>
        <w:tc>
          <w:tcPr>
            <w:tcW w:type="dxa" w:w="4200"/>
            <w:tcMar>
              <w:top w:type="dxa" w:w="80"/>
              <w:left w:type="dxa" w:w="110"/>
              <w:bottom w:type="dxa" w:w="80"/>
              <w:right w:type="dxa" w:w="110"/>
            </w:tcMar>
          </w:tcPr>
          <w:p>
            <w:r>
              <w:rPr>
                <w:b w:val="false"/>
                <w:bCs w:val="false"/>
                <w:sz w:val="19"/>
                <w:szCs w:val="19"/>
              </w:rPr>
              <w:t xml:space="preserve">Side surface area</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314.16</w:t>
            </w:r>
          </w:p>
        </w:tc>
        <w:tc>
          <w:tcPr>
            <w:tcW w:type="dxa" w:w="2760"/>
            <w:tcMar>
              <w:top w:type="dxa" w:w="80"/>
              <w:left w:type="dxa" w:w="110"/>
              <w:bottom w:type="dxa" w:w="80"/>
              <w:right w:type="dxa" w:w="110"/>
            </w:tcMar>
          </w:tcPr>
          <w:p>
            <w:r>
              <w:rPr>
                <w:b w:val="false"/>
                <w:bCs w:val="false"/>
                <w:sz w:val="19"/>
                <w:szCs w:val="19"/>
              </w:rPr>
              <w:t xml:space="preserve">square feet</w:t>
            </w:r>
          </w:p>
        </w:tc>
      </w:tr>
      <w:tr>
        <w:trPr>
          <w:tblHeader w:val="false"/>
        </w:trPr>
        <w:tc>
          <w:tcPr>
            <w:tcW w:type="dxa" w:w="4200"/>
            <w:tcMar>
              <w:top w:type="dxa" w:w="80"/>
              <w:left w:type="dxa" w:w="110"/>
              <w:bottom w:type="dxa" w:w="80"/>
              <w:right w:type="dxa" w:w="110"/>
            </w:tcMar>
          </w:tcPr>
          <w:p>
            <w:r>
              <w:rPr>
                <w:b w:val="false"/>
                <w:bCs w:val="false"/>
                <w:sz w:val="19"/>
                <w:szCs w:val="19"/>
              </w:rPr>
              <w:t xml:space="preserve">Total area to paint</w:t>
            </w:r>
          </w:p>
        </w:tc>
        <w:tc>
          <w:tcPr>
            <w:tcW w:type="dxa" w:w="2400"/>
            <w:tcMar>
              <w:top w:type="dxa" w:w="80"/>
              <w:left w:type="dxa" w:w="110"/>
              <w:bottom w:type="dxa" w:w="80"/>
              <w:right w:type="dxa" w:w="110"/>
            </w:tcMar>
          </w:tcPr>
          <w:p>
            <w:r>
              <w:rPr>
                <w:rFonts w:ascii="Consolas" w:cs="Consolas" w:eastAsia="Consolas" w:hAnsi="Consolas"/>
                <w:b w:val="false"/>
                <w:bCs w:val="false"/>
                <w:sz w:val="19"/>
                <w:szCs w:val="19"/>
              </w:rPr>
              <w:t xml:space="preserve">392.70</w:t>
            </w:r>
          </w:p>
        </w:tc>
        <w:tc>
          <w:tcPr>
            <w:tcW w:type="dxa" w:w="2760"/>
            <w:tcMar>
              <w:top w:type="dxa" w:w="80"/>
              <w:left w:type="dxa" w:w="110"/>
              <w:bottom w:type="dxa" w:w="80"/>
              <w:right w:type="dxa" w:w="110"/>
            </w:tcMar>
          </w:tcPr>
          <w:p>
            <w:r>
              <w:rPr>
                <w:b w:val="false"/>
                <w:bCs w:val="false"/>
                <w:sz w:val="19"/>
                <w:szCs w:val="19"/>
              </w:rPr>
              <w:t xml:space="preserve">square feet</w:t>
            </w:r>
          </w:p>
        </w:tc>
      </w:tr>
    </w:tbl>
    <w:p>
      <w:pPr>
        <w:spacing w:after="140"/>
      </w:pPr>
    </w:p>
    <w:p>
      <w:pPr>
        <w:spacing w:after="140"/>
      </w:pPr>
      <w:r>
        <w:rPr>
          <w:sz w:val="22"/>
          <w:szCs w:val="22"/>
        </w:rPr>
        <w:t xml:space="preserve">The following cases were also confirmed to behave correctly:</w:t>
      </w:r>
    </w:p>
    <w:p>
      <w:pPr>
        <w:pStyle w:val="ListParagraph"/>
        <w:numPr>
          <w:ilvl w:val="0"/>
          <w:numId w:val="1"/>
        </w:numPr>
        <w:spacing w:after="80"/>
      </w:pPr>
      <w:r>
        <w:rPr>
          <w:sz w:val="22"/>
          <w:szCs w:val="22"/>
        </w:rPr>
        <w:t xml:space="preserve">Empty height or radius is rejected with a prompt to enter a value.</w:t>
      </w:r>
    </w:p>
    <w:p>
      <w:pPr>
        <w:pStyle w:val="ListParagraph"/>
        <w:numPr>
          <w:ilvl w:val="0"/>
          <w:numId w:val="1"/>
        </w:numPr>
        <w:spacing w:after="80"/>
      </w:pPr>
      <w:r>
        <w:rPr>
          <w:sz w:val="22"/>
          <w:szCs w:val="22"/>
        </w:rPr>
        <w:t xml:space="preserve">Non-numeric text such as abc is rejected as not a number.</w:t>
      </w:r>
    </w:p>
    <w:p>
      <w:pPr>
        <w:pStyle w:val="ListParagraph"/>
        <w:numPr>
          <w:ilvl w:val="0"/>
          <w:numId w:val="1"/>
        </w:numPr>
        <w:spacing w:after="80"/>
      </w:pPr>
      <w:r>
        <w:rPr>
          <w:sz w:val="22"/>
          <w:szCs w:val="22"/>
        </w:rPr>
        <w:t xml:space="preserve">Zero and negative values are rejected as out of range.</w:t>
      </w:r>
    </w:p>
    <w:p>
      <w:pPr>
        <w:pStyle w:val="ListParagraph"/>
        <w:numPr>
          <w:ilvl w:val="0"/>
          <w:numId w:val="1"/>
        </w:numPr>
        <w:spacing w:after="80"/>
      </w:pPr>
      <w:r>
        <w:rPr>
          <w:sz w:val="22"/>
          <w:szCs w:val="22"/>
        </w:rPr>
        <w:t xml:space="preserve">Decimal dimensions such as 12.5 by 4.25 are accepted and calculated.</w:t>
      </w:r>
    </w:p>
    <w:p>
      <w:pPr>
        <w:pStyle w:val="ListParagraph"/>
        <w:numPr>
          <w:ilvl w:val="0"/>
          <w:numId w:val="1"/>
        </w:numPr>
        <w:spacing w:after="80"/>
      </w:pPr>
      <w:r>
        <w:rPr>
          <w:sz w:val="22"/>
          <w:szCs w:val="22"/>
        </w:rPr>
        <w:t xml:space="preserve">All four color schemes apply cleanly to every widget, including the drop-down pop-ups.</w:t>
      </w:r>
    </w:p>
    <w:p>
      <w:pPr>
        <w:pStyle w:val="ListParagraph"/>
        <w:numPr>
          <w:ilvl w:val="0"/>
          <w:numId w:val="1"/>
        </w:numPr>
        <w:spacing w:after="80"/>
      </w:pPr>
      <w:r>
        <w:rPr>
          <w:sz w:val="22"/>
          <w:szCs w:val="22"/>
        </w:rPr>
        <w:t xml:space="preserve">All three windowed sizes and full screen apply correctly, and Escape returns from full screen to the default window.</w:t>
      </w:r>
    </w:p>
    <w:p>
      <w:pPr>
        <w:pStyle w:val="Heading1"/>
        <w:spacing w:after="140" w:before="260"/>
      </w:pPr>
      <w:r>
        <w:rPr>
          <w:b/>
          <w:bCs/>
          <w:color w:val="1A4F8B"/>
          <w:sz w:val="27"/>
          <w:szCs w:val="27"/>
        </w:rPr>
        <w:t xml:space="preserve">10. Known Limitations and Possible Enhancements</w:t>
      </w:r>
    </w:p>
    <w:p>
      <w:pPr>
        <w:pStyle w:val="ListParagraph"/>
        <w:numPr>
          <w:ilvl w:val="0"/>
          <w:numId w:val="1"/>
        </w:numPr>
        <w:spacing w:after="80"/>
      </w:pPr>
      <w:r>
        <w:rPr>
          <w:sz w:val="22"/>
          <w:szCs w:val="22"/>
        </w:rPr>
        <w:t xml:space="preserve">The weight calculation assumes fresh water at 62.4 pounds per cubic foot. A future version could offer a choice of liquid, since salt water, fuel, and other liquids have different densities.</w:t>
      </w:r>
    </w:p>
    <w:p>
      <w:pPr>
        <w:pStyle w:val="ListParagraph"/>
        <w:numPr>
          <w:ilvl w:val="0"/>
          <w:numId w:val="1"/>
        </w:numPr>
        <w:spacing w:after="80"/>
      </w:pPr>
      <w:r>
        <w:rPr>
          <w:sz w:val="22"/>
          <w:szCs w:val="22"/>
        </w:rPr>
        <w:t xml:space="preserve">The tank is assumed to be full. An additional input for the fill level, given as a percentage or a depth, would let the program report a partly filled tank.</w:t>
      </w:r>
    </w:p>
    <w:p>
      <w:pPr>
        <w:pStyle w:val="ListParagraph"/>
        <w:numPr>
          <w:ilvl w:val="0"/>
          <w:numId w:val="1"/>
        </w:numPr>
        <w:spacing w:after="80"/>
      </w:pPr>
      <w:r>
        <w:rPr>
          <w:sz w:val="22"/>
          <w:szCs w:val="22"/>
        </w:rPr>
        <w:t xml:space="preserve">The bottom of the tank is excluded from the paintable area, on the assumption that an upright tank sits on the ground. A future version could make this an option.</w:t>
      </w:r>
    </w:p>
    <w:p>
      <w:pPr>
        <w:pStyle w:val="ListParagraph"/>
        <w:numPr>
          <w:ilvl w:val="0"/>
          <w:numId w:val="1"/>
        </w:numPr>
        <w:spacing w:after="80"/>
      </w:pPr>
      <w:r>
        <w:rPr>
          <w:sz w:val="22"/>
          <w:szCs w:val="22"/>
        </w:rPr>
        <w:t xml:space="preserve">Results are displayed but not saved. A future version could write each calculation to a file, which would also demonstrate file input and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Documentation - tank_gui.py</dc:title>
  <dc:creator>Wyatt Rossell</dc:creator>
  <cp:lastModifiedBy>Un-named</cp:lastModifiedBy>
  <cp:revision>1</cp:revision>
  <dcterms:created xsi:type="dcterms:W3CDTF">2026-07-11T03:33:51.118Z</dcterms:created>
  <dcterms:modified xsi:type="dcterms:W3CDTF">2026-07-11T03:33:51.132Z</dcterms:modified>
</cp:coreProperties>
</file>

<file path=docProps/custom.xml><?xml version="1.0" encoding="utf-8"?>
<Properties xmlns="http://schemas.openxmlformats.org/officeDocument/2006/custom-properties" xmlns:vt="http://schemas.openxmlformats.org/officeDocument/2006/docPropsVTypes"/>
</file>