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8" w:type="dxa"/>
          <w:bottom w:w="0" w:type="dxa"/>
          <w:right w:w="108" w:type="dxa"/>
        </w:tblCellMar>
      </w:tblPr>
      <w:tblGrid>
        <w:gridCol w:w="12122"/>
      </w:tblGrid>
      <w:tr w14:paraId="43806170">
        <w:trPr>
          <w:trHeight w:val="16838" w:hRule="exact"/>
        </w:trPr>
        <w:tc>
          <w:tcPr>
            <w:tcBorders>
              <w:top w:val="nil"/>
              <w:left w:val="nil"/>
              <w:bottom w:val="nil"/>
              <w:right w:val="nil"/>
            </w:tcBorders>
            <w:shd w:val="clear" w:color="auto" w:fill="FEFEFE"/>
          </w:tcPr>
          <w:p w14:paraId="2B3A3629">
            <w:pPr>
              <w:pBdr>
                <w:top w:val="single" w:color="FF862F" w:sz="18" w:space="20"/>
              </w:pBdr>
              <w:spacing w:before="1200" w:after="200"/>
              <w:ind w:left="1000" w:right="1000"/>
            </w:pPr>
          </w:p>
          <w:p w14:paraId="68FEC0F0">
            <w:pPr>
              <w:spacing w:before="1800"/>
            </w:pPr>
          </w:p>
          <w:p w14:paraId="1261992E">
            <w:pPr>
              <w:spacing w:after="500"/>
              <w:jc w:val="center"/>
            </w:pPr>
            <w:r>
              <w:rPr>
                <w:rFonts w:ascii="Calibri"/>
                <w:color w:val="FF862F"/>
                <w:spacing w:val="40"/>
                <w:sz w:val="18"/>
                <w:szCs w:val="18"/>
              </w:rPr>
              <w:t>T  E  C  H  N  I  C  A  L     W  H  I  T  E     P  A  P  E  R</w:t>
            </w:r>
          </w:p>
          <w:p w14:paraId="64308D97">
            <w:pPr>
              <w:spacing w:after="300" w:line="920" w:lineRule="atLeast"/>
              <w:jc w:val="center"/>
            </w:pPr>
            <w:r>
              <w:rPr>
                <w:rFonts w:ascii="Arial" w:eastAsia="黑体"/>
                <w:b/>
                <w:bCs/>
                <w:color w:val="1284BA"/>
                <w:sz w:val="80"/>
                <w:szCs w:val="80"/>
              </w:rPr>
              <w:t>汇智小助手技术路线报告</w:t>
            </w:r>
          </w:p>
          <w:p w14:paraId="66B52896">
            <w:pPr>
              <w:spacing w:after="400"/>
              <w:jc w:val="center"/>
            </w:pPr>
            <w:r>
              <w:rPr>
                <w:rFonts w:ascii="Arial" w:eastAsia="微软雅黑"/>
                <w:color w:val="606060"/>
                <w:sz w:val="24"/>
                <w:szCs w:val="24"/>
              </w:rPr>
              <w:t>面向警务实战的智能体平台</w:t>
            </w:r>
          </w:p>
          <w:p w14:paraId="735D423E">
            <w:pPr>
              <w:spacing w:before="1200"/>
            </w:pPr>
          </w:p>
          <w:p w14:paraId="7F10150A">
            <w:pPr>
              <w:spacing w:after="100" w:line="414" w:lineRule="atLeast"/>
              <w:jc w:val="center"/>
            </w:pPr>
            <w:r>
              <w:rPr>
                <w:rFonts w:ascii="Arial" w:eastAsia="微软雅黑"/>
                <w:color w:val="707070"/>
                <w:sz w:val="36"/>
                <w:szCs w:val="36"/>
              </w:rPr>
              <w:t>系统名称：汇智小助手</w:t>
            </w:r>
          </w:p>
          <w:p w14:paraId="0A1CAF91">
            <w:pPr>
              <w:spacing w:after="100" w:line="414" w:lineRule="atLeast"/>
              <w:jc w:val="center"/>
            </w:pPr>
            <w:r>
              <w:rPr>
                <w:rFonts w:ascii="Arial" w:eastAsia="微软雅黑"/>
                <w:color w:val="707070"/>
                <w:sz w:val="36"/>
                <w:szCs w:val="36"/>
              </w:rPr>
              <w:t>文档类型：技术路线说明</w:t>
            </w:r>
          </w:p>
          <w:p w14:paraId="3CD1EA91">
            <w:pPr>
              <w:spacing w:after="100" w:line="414" w:lineRule="atLeast"/>
              <w:jc w:val="center"/>
            </w:pPr>
            <w:r>
              <w:rPr>
                <w:rFonts w:ascii="Arial" w:eastAsia="微软雅黑"/>
                <w:color w:val="707070"/>
                <w:sz w:val="36"/>
                <w:szCs w:val="36"/>
              </w:rPr>
              <w:t>文档版本：V1.1</w:t>
            </w:r>
          </w:p>
          <w:p w14:paraId="47944206">
            <w:pPr>
              <w:spacing w:after="100" w:line="414" w:lineRule="atLeast"/>
              <w:jc w:val="center"/>
            </w:pPr>
            <w:r>
              <w:rPr>
                <w:rFonts w:ascii="Arial" w:eastAsia="微软雅黑"/>
                <w:color w:val="707070"/>
                <w:sz w:val="36"/>
                <w:szCs w:val="36"/>
              </w:rPr>
              <w:t xml:space="preserve">发布日期：2026 年 </w:t>
            </w:r>
            <w:r>
              <w:rPr>
                <w:rFonts w:hint="eastAsia" w:ascii="Arial" w:eastAsia="微软雅黑"/>
                <w:color w:val="707070"/>
                <w:sz w:val="36"/>
                <w:szCs w:val="36"/>
                <w:lang w:val="en-US" w:eastAsia="zh-CN"/>
              </w:rPr>
              <w:t>9</w:t>
            </w:r>
            <w:r>
              <w:rPr>
                <w:rFonts w:ascii="Arial" w:eastAsia="微软雅黑"/>
                <w:color w:val="707070"/>
                <w:sz w:val="36"/>
                <w:szCs w:val="36"/>
              </w:rPr>
              <w:t xml:space="preserve"> 月</w:t>
            </w:r>
          </w:p>
          <w:p w14:paraId="7E81F788">
            <w:pPr>
              <w:spacing w:before="2000"/>
            </w:pPr>
          </w:p>
          <w:p w14:paraId="6817A63E">
            <w:pPr>
              <w:pBdr>
                <w:bottom w:val="single" w:color="FF862F" w:sz="18" w:space="20"/>
              </w:pBdr>
              <w:spacing w:before="200"/>
              <w:ind w:left="1000" w:right="1000"/>
              <w:jc w:val="center"/>
            </w:pPr>
            <w:r>
              <w:rPr>
                <w:rFonts w:ascii="Arial"/>
                <w:color w:val="A0A0A0"/>
                <w:sz w:val="18"/>
                <w:szCs w:val="18"/>
              </w:rPr>
              <w:t>汇智小助手 · 技术文档</w:t>
            </w:r>
          </w:p>
        </w:tc>
      </w:tr>
    </w:tbl>
    <w:p w14:paraId="3C1DF6A5">
      <w:pPr>
        <w:sectPr>
          <w:pgSz w:w="11906" w:h="16838"/>
          <w:pgMar w:top="0" w:right="0" w:bottom="0" w:left="0" w:header="708" w:footer="708" w:gutter="0"/>
          <w:cols w:space="720" w:num="1"/>
          <w:docGrid w:linePitch="360" w:charSpace="0"/>
        </w:sectPr>
      </w:pPr>
    </w:p>
    <w:p w14:paraId="6A58520D">
      <w:pPr>
        <w:spacing w:before="480" w:after="360"/>
        <w:jc w:val="center"/>
      </w:pPr>
      <w:r>
        <w:rPr>
          <w:rFonts w:ascii="Times New Roman" w:eastAsia="黑体"/>
          <w:b/>
          <w:bCs/>
          <w:color w:val="1284BA"/>
          <w:sz w:val="32"/>
          <w:szCs w:val="32"/>
        </w:rPr>
        <w:t>目  录</w:t>
      </w:r>
    </w:p>
    <w:p w14:paraId="6858E61A">
      <w:pPr>
        <w:spacing w:after="240"/>
        <w:jc w:val="center"/>
      </w:pPr>
      <w:r>
        <w:rPr>
          <w:rFonts w:ascii="Times New Roman" w:eastAsia="宋体"/>
          <w:i/>
          <w:iCs/>
          <w:color w:val="888888"/>
          <w:sz w:val="18"/>
          <w:szCs w:val="18"/>
        </w:rPr>
        <w:t>注：本目录由域代码生成，编辑后如需页码准确，请右键目录选择「更新域」。</w:t>
      </w:r>
    </w:p>
    <w:sdt>
      <w:sdtPr>
        <w:alias w:val="Table of Contents"/>
        <w:id w:val="814815427"/>
      </w:sdtPr>
      <w:sdtContent>
        <w:p w14:paraId="36914D9D">
          <w:pPr>
            <w:pStyle w:val="10"/>
            <w:tabs>
              <w:tab w:val="right" w:leader="dot" w:pos="8788"/>
            </w:tabs>
          </w:pPr>
          <w:r>
            <w:fldChar w:fldCharType="begin"/>
          </w:r>
          <w:r>
            <w:instrText xml:space="preserve">TOC \h \o "1-3"</w:instrText>
          </w:r>
          <w:r>
            <w:fldChar w:fldCharType="separate"/>
          </w:r>
        </w:p>
        <w:p w14:paraId="3153E770">
          <w:pPr>
            <w:pStyle w:val="10"/>
            <w:tabs>
              <w:tab w:val="right" w:leader="dot" w:pos="9026"/>
            </w:tabs>
            <w:spacing w:before="120" w:after="60"/>
          </w:pPr>
          <w:r>
            <w:t>一、项目概述与技术定位</w:t>
          </w:r>
          <w:r>
            <w:tab/>
          </w:r>
          <w:r>
            <w:t>1</w:t>
          </w:r>
        </w:p>
        <w:p w14:paraId="5001019F">
          <w:pPr>
            <w:pStyle w:val="12"/>
            <w:tabs>
              <w:tab w:val="right" w:leader="dot" w:pos="9026"/>
            </w:tabs>
            <w:spacing w:before="120" w:after="60"/>
            <w:ind w:left="360"/>
          </w:pPr>
          <w:r>
            <w:t>1.1 建设背景</w:t>
          </w:r>
          <w:r>
            <w:tab/>
          </w:r>
          <w:r>
            <w:t>1</w:t>
          </w:r>
        </w:p>
        <w:p w14:paraId="67AFB3D9">
          <w:pPr>
            <w:pStyle w:val="12"/>
            <w:tabs>
              <w:tab w:val="right" w:leader="dot" w:pos="9026"/>
            </w:tabs>
            <w:spacing w:before="120" w:after="60"/>
            <w:ind w:left="360"/>
          </w:pPr>
          <w:r>
            <w:t>1.2 技术定位</w:t>
          </w:r>
          <w:r>
            <w:tab/>
          </w:r>
          <w:r>
            <w:t>2</w:t>
          </w:r>
        </w:p>
        <w:p w14:paraId="61F2F765">
          <w:pPr>
            <w:pStyle w:val="12"/>
            <w:tabs>
              <w:tab w:val="right" w:leader="dot" w:pos="9026"/>
            </w:tabs>
            <w:spacing w:before="120" w:after="60"/>
            <w:ind w:left="360"/>
          </w:pPr>
          <w:r>
            <w:t>1.3 与通用大模型对话的关键差异</w:t>
          </w:r>
          <w:r>
            <w:tab/>
          </w:r>
          <w:r>
            <w:t>2</w:t>
          </w:r>
        </w:p>
        <w:p w14:paraId="277C1BC6">
          <w:pPr>
            <w:pStyle w:val="10"/>
            <w:tabs>
              <w:tab w:val="right" w:leader="dot" w:pos="9026"/>
            </w:tabs>
            <w:spacing w:before="120" w:after="60"/>
          </w:pPr>
          <w:r>
            <w:t>二、总体技术架构</w:t>
          </w:r>
          <w:r>
            <w:tab/>
          </w:r>
          <w:r>
            <w:t>3</w:t>
          </w:r>
        </w:p>
        <w:p w14:paraId="160FBBCB">
          <w:pPr>
            <w:pStyle w:val="12"/>
            <w:tabs>
              <w:tab w:val="right" w:leader="dot" w:pos="9026"/>
            </w:tabs>
            <w:spacing w:before="120" w:after="60"/>
            <w:ind w:left="360"/>
          </w:pPr>
          <w:r>
            <w:t>2.1 分层架构</w:t>
          </w:r>
          <w:r>
            <w:tab/>
          </w:r>
          <w:r>
            <w:t>3</w:t>
          </w:r>
        </w:p>
        <w:p w14:paraId="4C43D299">
          <w:pPr>
            <w:pStyle w:val="12"/>
            <w:tabs>
              <w:tab w:val="right" w:leader="dot" w:pos="9026"/>
            </w:tabs>
            <w:spacing w:before="120" w:after="60"/>
            <w:ind w:left="360"/>
          </w:pPr>
          <w:r>
            <w:t>2.2 技术选型</w:t>
          </w:r>
          <w:r>
            <w:tab/>
          </w:r>
          <w:r>
            <w:t>3</w:t>
          </w:r>
        </w:p>
        <w:p w14:paraId="435497E2">
          <w:pPr>
            <w:pStyle w:val="12"/>
            <w:tabs>
              <w:tab w:val="right" w:leader="dot" w:pos="9026"/>
            </w:tabs>
            <w:spacing w:before="120" w:after="60"/>
            <w:ind w:left="360"/>
          </w:pPr>
          <w:r>
            <w:t>2.3 一次请求的完整链路</w:t>
          </w:r>
          <w:r>
            <w:tab/>
          </w:r>
          <w:r>
            <w:t>4</w:t>
          </w:r>
        </w:p>
        <w:p w14:paraId="59C268C0">
          <w:pPr>
            <w:pStyle w:val="10"/>
            <w:tabs>
              <w:tab w:val="right" w:leader="dot" w:pos="9026"/>
            </w:tabs>
            <w:spacing w:before="120" w:after="60"/>
          </w:pPr>
          <w:r>
            <w:t>三、底层技术实现</w:t>
          </w:r>
          <w:r>
            <w:tab/>
          </w:r>
          <w:r>
            <w:t>5</w:t>
          </w:r>
        </w:p>
        <w:p w14:paraId="77B545E4">
          <w:pPr>
            <w:pStyle w:val="12"/>
            <w:tabs>
              <w:tab w:val="right" w:leader="dot" w:pos="9026"/>
            </w:tabs>
            <w:spacing w:before="120" w:after="60"/>
            <w:ind w:left="360"/>
          </w:pPr>
          <w:r>
            <w:t>3.1 智能体运行时</w:t>
          </w:r>
          <w:r>
            <w:tab/>
          </w:r>
          <w:r>
            <w:t>5</w:t>
          </w:r>
        </w:p>
        <w:p w14:paraId="08CC6002">
          <w:pPr>
            <w:pStyle w:val="12"/>
            <w:tabs>
              <w:tab w:val="right" w:leader="dot" w:pos="9026"/>
            </w:tabs>
            <w:spacing w:before="120" w:after="60"/>
            <w:ind w:left="360"/>
          </w:pPr>
          <w:r>
            <w:t>3.2 推理循环与工具协调</w:t>
          </w:r>
          <w:r>
            <w:tab/>
          </w:r>
          <w:r>
            <w:t>6</w:t>
          </w:r>
        </w:p>
        <w:p w14:paraId="0BE86D91">
          <w:pPr>
            <w:pStyle w:val="12"/>
            <w:tabs>
              <w:tab w:val="right" w:leader="dot" w:pos="9026"/>
            </w:tabs>
            <w:spacing w:before="120" w:after="60"/>
            <w:ind w:left="360"/>
          </w:pPr>
          <w:r>
            <w:t>3.3 上下文管理机制</w:t>
          </w:r>
          <w:r>
            <w:tab/>
          </w:r>
          <w:r>
            <w:t>6</w:t>
          </w:r>
        </w:p>
        <w:p w14:paraId="25C9FBF4">
          <w:pPr>
            <w:pStyle w:val="12"/>
            <w:tabs>
              <w:tab w:val="right" w:leader="dot" w:pos="9026"/>
            </w:tabs>
            <w:spacing w:before="120" w:after="60"/>
            <w:ind w:left="360"/>
          </w:pPr>
          <w:r>
            <w:t>3.4 流式输出与可靠性</w:t>
          </w:r>
          <w:r>
            <w:tab/>
          </w:r>
          <w:r>
            <w:t>6</w:t>
          </w:r>
        </w:p>
        <w:p w14:paraId="1D7434EE">
          <w:pPr>
            <w:pStyle w:val="12"/>
            <w:tabs>
              <w:tab w:val="right" w:leader="dot" w:pos="9026"/>
            </w:tabs>
            <w:spacing w:before="120" w:after="60"/>
            <w:ind w:left="360"/>
          </w:pPr>
          <w:r>
            <w:t>3.5 数据存储布局</w:t>
          </w:r>
          <w:r>
            <w:tab/>
          </w:r>
          <w:r>
            <w:t>7</w:t>
          </w:r>
        </w:p>
        <w:p w14:paraId="76503710">
          <w:pPr>
            <w:pStyle w:val="10"/>
            <w:tabs>
              <w:tab w:val="right" w:leader="dot" w:pos="9026"/>
            </w:tabs>
            <w:spacing w:before="120" w:after="60"/>
          </w:pPr>
          <w:r>
            <w:t>四、知识库构建流程</w:t>
          </w:r>
          <w:r>
            <w:tab/>
          </w:r>
          <w:r>
            <w:t>7</w:t>
          </w:r>
        </w:p>
        <w:p w14:paraId="33D61016">
          <w:pPr>
            <w:pStyle w:val="12"/>
            <w:tabs>
              <w:tab w:val="right" w:leader="dot" w:pos="9026"/>
            </w:tabs>
            <w:spacing w:before="120" w:after="60"/>
            <w:ind w:left="360"/>
          </w:pPr>
          <w:r>
            <w:t>4.1 全流程概览</w:t>
          </w:r>
          <w:r>
            <w:tab/>
          </w:r>
          <w:r>
            <w:t>8</w:t>
          </w:r>
        </w:p>
        <w:p w14:paraId="41F61076">
          <w:pPr>
            <w:pStyle w:val="12"/>
            <w:tabs>
              <w:tab w:val="right" w:leader="dot" w:pos="9026"/>
            </w:tabs>
            <w:spacing w:before="120" w:after="60"/>
            <w:ind w:left="360"/>
          </w:pPr>
          <w:r>
            <w:t>4.2 解析与降级策略</w:t>
          </w:r>
          <w:r>
            <w:tab/>
          </w:r>
          <w:r>
            <w:t>8</w:t>
          </w:r>
        </w:p>
        <w:p w14:paraId="089FB737">
          <w:pPr>
            <w:pStyle w:val="12"/>
            <w:tabs>
              <w:tab w:val="right" w:leader="dot" w:pos="9026"/>
            </w:tabs>
            <w:spacing w:before="120" w:after="60"/>
            <w:ind w:left="360"/>
          </w:pPr>
          <w:r>
            <w:t>4.3 多路检索与结果融合</w:t>
          </w:r>
          <w:r>
            <w:tab/>
          </w:r>
          <w:r>
            <w:t>8</w:t>
          </w:r>
        </w:p>
        <w:p w14:paraId="1A530841">
          <w:pPr>
            <w:pStyle w:val="12"/>
            <w:tabs>
              <w:tab w:val="right" w:leader="dot" w:pos="9026"/>
            </w:tabs>
            <w:spacing w:before="120" w:after="60"/>
            <w:ind w:left="360"/>
          </w:pPr>
          <w:r>
            <w:t>4.4 处理任务与失败重试</w:t>
          </w:r>
          <w:r>
            <w:tab/>
          </w:r>
          <w:r>
            <w:t>9</w:t>
          </w:r>
        </w:p>
        <w:p w14:paraId="76E17DF3">
          <w:pPr>
            <w:pStyle w:val="12"/>
            <w:tabs>
              <w:tab w:val="right" w:leader="dot" w:pos="9026"/>
            </w:tabs>
            <w:spacing w:before="120" w:after="60"/>
            <w:ind w:left="360"/>
          </w:pPr>
          <w:r>
            <w:t>4.5 知识图谱的多租户存储</w:t>
          </w:r>
          <w:r>
            <w:tab/>
          </w:r>
          <w:r>
            <w:t>10</w:t>
          </w:r>
        </w:p>
        <w:p w14:paraId="6A2014FC">
          <w:pPr>
            <w:pStyle w:val="10"/>
            <w:tabs>
              <w:tab w:val="right" w:leader="dot" w:pos="9026"/>
            </w:tabs>
            <w:spacing w:before="120" w:after="60"/>
          </w:pPr>
          <w:r>
            <w:t>五、智能体与知识库的协同运转</w:t>
          </w:r>
          <w:r>
            <w:tab/>
          </w:r>
          <w:r>
            <w:t>10</w:t>
          </w:r>
        </w:p>
        <w:p w14:paraId="683453E2">
          <w:pPr>
            <w:pStyle w:val="12"/>
            <w:tabs>
              <w:tab w:val="right" w:leader="dot" w:pos="9026"/>
            </w:tabs>
            <w:spacing w:before="120" w:after="60"/>
            <w:ind w:left="360"/>
          </w:pPr>
          <w:r>
            <w:t>5.1 两种结合方式</w:t>
          </w:r>
          <w:r>
            <w:tab/>
          </w:r>
          <w:r>
            <w:t>10</w:t>
          </w:r>
        </w:p>
        <w:p w14:paraId="78360EF9">
          <w:pPr>
            <w:pStyle w:val="12"/>
            <w:tabs>
              <w:tab w:val="right" w:leader="dot" w:pos="9026"/>
            </w:tabs>
            <w:spacing w:before="120" w:after="60"/>
            <w:ind w:left="360"/>
          </w:pPr>
          <w:r>
            <w:t>5.2 自动注入的工作细节</w:t>
          </w:r>
          <w:r>
            <w:tab/>
          </w:r>
          <w:r>
            <w:t>11</w:t>
          </w:r>
        </w:p>
        <w:p w14:paraId="797F3DF9">
          <w:pPr>
            <w:pStyle w:val="12"/>
            <w:tabs>
              <w:tab w:val="right" w:leader="dot" w:pos="9026"/>
            </w:tabs>
            <w:spacing w:before="120" w:after="60"/>
            <w:ind w:left="360"/>
          </w:pPr>
          <w:r>
            <w:t>5.3 数据分析：让不懂 SQL 的民警直接查数</w:t>
          </w:r>
          <w:r>
            <w:tab/>
          </w:r>
          <w:r>
            <w:t>11</w:t>
          </w:r>
        </w:p>
        <w:p w14:paraId="78D6317C">
          <w:pPr>
            <w:pStyle w:val="12"/>
            <w:tabs>
              <w:tab w:val="right" w:leader="dot" w:pos="9026"/>
            </w:tabs>
            <w:spacing w:before="120" w:after="60"/>
            <w:ind w:left="360"/>
          </w:pPr>
          <w:r>
            <w:t>5.4 产出与交付</w:t>
          </w:r>
          <w:r>
            <w:tab/>
          </w:r>
          <w:r>
            <w:t>12</w:t>
          </w:r>
        </w:p>
        <w:p w14:paraId="494A8CBF">
          <w:pPr>
            <w:pStyle w:val="12"/>
            <w:tabs>
              <w:tab w:val="right" w:leader="dot" w:pos="9026"/>
            </w:tabs>
            <w:spacing w:before="120" w:after="60"/>
            <w:ind w:left="360"/>
          </w:pPr>
          <w:r>
            <w:t>5.5 典型协同流程</w:t>
          </w:r>
          <w:r>
            <w:tab/>
          </w:r>
          <w:r>
            <w:t>13</w:t>
          </w:r>
        </w:p>
        <w:p w14:paraId="607C3517">
          <w:pPr>
            <w:pStyle w:val="12"/>
            <w:tabs>
              <w:tab w:val="right" w:leader="dot" w:pos="9026"/>
            </w:tabs>
            <w:spacing w:before="120" w:after="60"/>
            <w:ind w:left="360"/>
          </w:pPr>
          <w:r>
            <w:t>5.6 会话的导入与导出</w:t>
          </w:r>
          <w:r>
            <w:tab/>
          </w:r>
          <w:r>
            <w:t>13</w:t>
          </w:r>
        </w:p>
        <w:p w14:paraId="7D581BAD">
          <w:pPr>
            <w:pStyle w:val="10"/>
            <w:tabs>
              <w:tab w:val="right" w:leader="dot" w:pos="9026"/>
            </w:tabs>
            <w:spacing w:before="120" w:after="60"/>
          </w:pPr>
          <w:r>
            <w:t>六、多用户安全隔离与运行可靠性</w:t>
          </w:r>
          <w:r>
            <w:tab/>
          </w:r>
          <w:r>
            <w:t>14</w:t>
          </w:r>
        </w:p>
        <w:p w14:paraId="40839397">
          <w:pPr>
            <w:pStyle w:val="12"/>
            <w:tabs>
              <w:tab w:val="right" w:leader="dot" w:pos="9026"/>
            </w:tabs>
            <w:spacing w:before="120" w:after="60"/>
            <w:ind w:left="360"/>
          </w:pPr>
          <w:r>
            <w:t>6.1 账号隔离的设计原则</w:t>
          </w:r>
          <w:r>
            <w:tab/>
          </w:r>
          <w:r>
            <w:t>14</w:t>
          </w:r>
        </w:p>
        <w:p w14:paraId="00B71601">
          <w:pPr>
            <w:pStyle w:val="12"/>
            <w:tabs>
              <w:tab w:val="right" w:leader="dot" w:pos="9026"/>
            </w:tabs>
            <w:spacing w:before="120" w:after="60"/>
            <w:ind w:left="360"/>
          </w:pPr>
          <w:r>
            <w:t>6.2 隔离的具体落实</w:t>
          </w:r>
          <w:r>
            <w:tab/>
          </w:r>
          <w:r>
            <w:t>14</w:t>
          </w:r>
        </w:p>
        <w:p w14:paraId="546F27FA">
          <w:pPr>
            <w:pStyle w:val="12"/>
            <w:tabs>
              <w:tab w:val="right" w:leader="dot" w:pos="9026"/>
            </w:tabs>
            <w:spacing w:before="120" w:after="60"/>
            <w:ind w:left="360"/>
          </w:pPr>
          <w:r>
            <w:t>6.3 长期运行的稳定性</w:t>
          </w:r>
          <w:r>
            <w:tab/>
          </w:r>
          <w:r>
            <w:t>15</w:t>
          </w:r>
        </w:p>
        <w:p w14:paraId="2EA25105">
          <w:pPr>
            <w:pStyle w:val="12"/>
            <w:tabs>
              <w:tab w:val="right" w:leader="dot" w:pos="9026"/>
            </w:tabs>
            <w:spacing w:before="120" w:after="60"/>
            <w:ind w:left="360"/>
          </w:pPr>
          <w:r>
            <w:t>6.4 部署形态</w:t>
          </w:r>
          <w:r>
            <w:tab/>
          </w:r>
          <w:r>
            <w:t>16</w:t>
          </w:r>
        </w:p>
        <w:p w14:paraId="3B234538">
          <w:pPr>
            <w:pStyle w:val="10"/>
            <w:tabs>
              <w:tab w:val="right" w:leader="dot" w:pos="9026"/>
            </w:tabs>
            <w:spacing w:before="120" w:after="60"/>
          </w:pPr>
          <w:r>
            <w:t>七、结论与展望</w:t>
          </w:r>
          <w:r>
            <w:tab/>
          </w:r>
          <w:r>
            <w:t>17</w:t>
          </w:r>
        </w:p>
        <w:p w14:paraId="5ED2F0A7">
          <w:pPr>
            <w:pStyle w:val="12"/>
            <w:tabs>
              <w:tab w:val="right" w:leader="dot" w:pos="9026"/>
            </w:tabs>
            <w:spacing w:before="120" w:after="60"/>
            <w:ind w:left="360"/>
          </w:pPr>
          <w:r>
            <w:t>7.1 技术路线的本质</w:t>
          </w:r>
          <w:r>
            <w:tab/>
          </w:r>
          <w:r>
            <w:t>17</w:t>
          </w:r>
        </w:p>
        <w:p w14:paraId="2915900A">
          <w:pPr>
            <w:pStyle w:val="12"/>
            <w:tabs>
              <w:tab w:val="right" w:leader="dot" w:pos="9026"/>
            </w:tabs>
            <w:spacing w:before="120" w:after="60"/>
            <w:ind w:left="360"/>
          </w:pPr>
          <w:r>
            <w:t>7.2 已实现的业务价值</w:t>
          </w:r>
          <w:r>
            <w:tab/>
          </w:r>
          <w:r>
            <w:t>17</w:t>
          </w:r>
        </w:p>
        <w:p w14:paraId="1114FFE8">
          <w:pPr>
            <w:pStyle w:val="12"/>
            <w:tabs>
              <w:tab w:val="right" w:leader="dot" w:pos="9026"/>
            </w:tabs>
            <w:spacing w:before="120" w:after="60"/>
            <w:ind w:left="360"/>
          </w:pPr>
          <w:r>
            <w:t>7.3 模型资源的分配方式</w:t>
          </w:r>
          <w:r>
            <w:tab/>
          </w:r>
          <w:r>
            <w:t>18</w:t>
          </w:r>
        </w:p>
        <w:p w14:paraId="2A3260F9">
          <w:pPr>
            <w:pStyle w:val="12"/>
            <w:tabs>
              <w:tab w:val="right" w:leader="dot" w:pos="9026"/>
            </w:tabs>
            <w:spacing w:before="120" w:after="60"/>
            <w:ind w:left="360"/>
          </w:pPr>
          <w:r>
            <w:t>7.4 后续演进方向</w:t>
          </w:r>
          <w:r>
            <w:tab/>
          </w:r>
          <w:r>
            <w:t>18</w:t>
          </w:r>
        </w:p>
        <w:p w14:paraId="79E16555">
          <w:pPr>
            <w:pStyle w:val="10"/>
            <w:tabs>
              <w:tab w:val="right" w:leader="dot" w:pos="9026"/>
            </w:tabs>
            <w:spacing w:before="120" w:after="60"/>
          </w:pPr>
          <w:r>
            <w:t>附录 关键技术参数速查</w:t>
          </w:r>
          <w:r>
            <w:tab/>
          </w:r>
          <w:r>
            <w:t>19</w:t>
          </w:r>
        </w:p>
        <w:p w14:paraId="3B169B00">
          <w:r>
            <w:fldChar w:fldCharType="end"/>
          </w:r>
        </w:p>
      </w:sdtContent>
    </w:sdt>
    <w:p w14:paraId="0FBA470E">
      <w:pPr>
        <w:sectPr>
          <w:headerReference r:id="rId5" w:type="default"/>
          <w:footerReference r:id="rId6" w:type="default"/>
          <w:pgSz w:w="11906" w:h="16838"/>
          <w:pgMar w:top="1440" w:right="1417" w:bottom="1440" w:left="1701" w:header="708" w:footer="708" w:gutter="0"/>
          <w:pgNumType w:fmt="upperRoman" w:start="1"/>
          <w:cols w:space="720" w:num="1"/>
          <w:docGrid w:linePitch="360" w:charSpace="0"/>
        </w:sectPr>
      </w:pPr>
    </w:p>
    <w:p w14:paraId="5C8E6052">
      <w:pPr>
        <w:pStyle w:val="2"/>
        <w:spacing w:before="360" w:after="160" w:line="368" w:lineRule="atLeast"/>
      </w:pPr>
      <w:bookmarkStart w:id="0" w:name="_Toc1"/>
      <w:r>
        <w:rPr>
          <w:rFonts w:ascii="Times New Roman" w:eastAsia="黑体"/>
          <w:b/>
          <w:bCs/>
          <w:color w:val="1284BA"/>
          <w:sz w:val="32"/>
          <w:szCs w:val="32"/>
        </w:rPr>
        <w:t>一、项目概述与技术定位</w:t>
      </w:r>
      <w:bookmarkEnd w:id="0"/>
    </w:p>
    <w:p w14:paraId="02240409">
      <w:pPr>
        <w:pStyle w:val="3"/>
        <w:spacing w:before="280" w:after="120" w:line="345" w:lineRule="atLeast"/>
      </w:pPr>
      <w:bookmarkStart w:id="1" w:name="_Toc2"/>
      <w:r>
        <w:rPr>
          <w:rFonts w:ascii="Times New Roman" w:eastAsia="黑体"/>
          <w:b/>
          <w:bCs/>
          <w:color w:val="1284BA"/>
          <w:sz w:val="30"/>
          <w:szCs w:val="30"/>
        </w:rPr>
        <w:t>1.1 建设背景</w:t>
      </w:r>
      <w:bookmarkEnd w:id="1"/>
    </w:p>
    <w:p w14:paraId="62F1FB50">
      <w:pPr>
        <w:spacing w:after="60" w:line="312" w:lineRule="auto"/>
        <w:ind w:firstLine="480"/>
        <w:jc w:val="both"/>
      </w:pPr>
      <w:r>
        <w:rPr>
          <w:rFonts w:ascii="Times New Roman" w:eastAsia="宋体"/>
          <w:color w:val="182030"/>
          <w:sz w:val="24"/>
          <w:szCs w:val="24"/>
        </w:rPr>
        <w:t>在传统警务信息化格局下，各类业务系统相互独立，数据分散在办案、话单、轨迹、资金等多个专业系统中。基层民警在使用这些数据时面临三重困难：一是系统之间彼此割裂，核查一条线索需要在多个系统间反复切换、人工比对；二是专业分析工具门槛高，多数民警不具备编写 SQL 或使用数据分析软件的能力，只能把少量数据导出到电子表格中做简单统计，难以支撑大数据量与多数据源的综合分析；三是数据之间的关联与规律隐藏在细节中，缺少自动化手段去发现。</w:t>
      </w:r>
    </w:p>
    <w:p w14:paraId="66C4907A">
      <w:pPr>
        <w:spacing w:after="60" w:line="312" w:lineRule="auto"/>
        <w:ind w:firstLine="480"/>
        <w:jc w:val="both"/>
      </w:pPr>
      <w:r>
        <w:rPr>
          <w:rFonts w:ascii="Times New Roman" w:eastAsia="宋体"/>
          <w:color w:val="182030"/>
          <w:sz w:val="24"/>
          <w:szCs w:val="24"/>
        </w:rPr>
        <w:t>本项目以通用智能体框架为基础做多用户化适配，构建面向警务实战场景的汇智小助手平台。平台的核心目标，是把原本需要逐个系统手工核查的流程，统一收敛为一次自然语言对话即可完成的协同核查，并在此基础上提供大数据量的关联分析与挖掘能力，从而显著提升民警的数据处理效率。</w:t>
      </w:r>
    </w:p>
    <w:p w14:paraId="12980DE7">
      <w:pPr>
        <w:pStyle w:val="3"/>
        <w:spacing w:before="280" w:after="120" w:line="345" w:lineRule="atLeast"/>
      </w:pPr>
      <w:bookmarkStart w:id="2" w:name="_Toc3"/>
      <w:r>
        <w:rPr>
          <w:rFonts w:ascii="Times New Roman" w:eastAsia="黑体"/>
          <w:b/>
          <w:bCs/>
          <w:color w:val="1284BA"/>
          <w:sz w:val="30"/>
          <w:szCs w:val="30"/>
        </w:rPr>
        <w:t>1.2 技术定位</w:t>
      </w:r>
      <w:bookmarkEnd w:id="2"/>
    </w:p>
    <w:p w14:paraId="1BEF004E">
      <w:pPr>
        <w:spacing w:after="60" w:line="312" w:lineRule="auto"/>
        <w:ind w:firstLine="480"/>
        <w:jc w:val="both"/>
      </w:pPr>
      <w:r>
        <w:rPr>
          <w:rFonts w:ascii="Times New Roman" w:eastAsia="宋体"/>
          <w:color w:val="182030"/>
          <w:sz w:val="24"/>
          <w:szCs w:val="24"/>
        </w:rPr>
        <w:t>平台在架构上定位为一个大模型驱动的多用户智能体平台，而不是一个传统的报表工具。其技术定位可以概括为四个层面：</w:t>
      </w:r>
    </w:p>
    <w:p w14:paraId="2F3083F6">
      <w:pPr>
        <w:spacing w:after="40" w:line="312" w:lineRule="auto"/>
        <w:ind w:left="480" w:hanging="240"/>
        <w:jc w:val="both"/>
      </w:pPr>
      <w:r>
        <w:rPr>
          <w:rFonts w:ascii="Times New Roman" w:eastAsia="宋体"/>
          <w:color w:val="182030"/>
          <w:sz w:val="24"/>
          <w:szCs w:val="24"/>
        </w:rPr>
        <w:t>· 会话层：以自然语言对话替代表单与查询语句，民警用日常语言描述需求即可，无需掌握关系数据库、图数据库知识。</w:t>
      </w:r>
    </w:p>
    <w:p w14:paraId="2A965681">
      <w:pPr>
        <w:spacing w:after="40" w:line="312" w:lineRule="auto"/>
        <w:ind w:left="480" w:hanging="240"/>
        <w:jc w:val="both"/>
      </w:pPr>
      <w:r>
        <w:rPr>
          <w:rFonts w:ascii="Times New Roman" w:eastAsia="宋体"/>
          <w:color w:val="182030"/>
          <w:sz w:val="24"/>
          <w:szCs w:val="24"/>
        </w:rPr>
        <w:t>· 知识层：将制度文件、案件材料、历史文书等非结构化资料构建为可语义检索的知识库，使模型回答有据可依。</w:t>
      </w:r>
    </w:p>
    <w:p w14:paraId="54AEEA5D">
      <w:pPr>
        <w:spacing w:after="40" w:line="312" w:lineRule="auto"/>
        <w:ind w:left="480" w:hanging="240"/>
        <w:jc w:val="both"/>
      </w:pPr>
      <w:r>
        <w:rPr>
          <w:rFonts w:ascii="Times New Roman" w:eastAsia="宋体"/>
          <w:color w:val="182030"/>
          <w:sz w:val="24"/>
          <w:szCs w:val="24"/>
        </w:rPr>
        <w:t>· 数据层：把结构化的业务数据接入按账号隔离的数据库，再由案件二次划分范围，由模型理解表结构后生成只读查询，实现自然语言驱动的数据分析。</w:t>
      </w:r>
    </w:p>
    <w:p w14:paraId="6FD68507">
      <w:pPr>
        <w:spacing w:after="40" w:line="312" w:lineRule="auto"/>
        <w:ind w:left="480" w:hanging="240"/>
        <w:jc w:val="both"/>
      </w:pPr>
      <w:r>
        <w:rPr>
          <w:rFonts w:ascii="Times New Roman" w:eastAsia="宋体"/>
          <w:color w:val="182030"/>
          <w:sz w:val="24"/>
          <w:szCs w:val="24"/>
        </w:rPr>
        <w:t>· 能力层：通过工具调用把文件处理、数据导入、图表生成、文档产出等具体动作交给程序执行，模型负责决策而非直接操作数据。</w:t>
      </w:r>
    </w:p>
    <w:p w14:paraId="6AB3A2AE">
      <w:pPr>
        <w:pStyle w:val="3"/>
        <w:spacing w:before="280" w:after="120" w:line="345" w:lineRule="atLeast"/>
      </w:pPr>
      <w:bookmarkStart w:id="3" w:name="_Toc4"/>
      <w:r>
        <w:rPr>
          <w:rFonts w:ascii="Times New Roman" w:eastAsia="黑体"/>
          <w:b/>
          <w:bCs/>
          <w:color w:val="1284BA"/>
          <w:sz w:val="30"/>
          <w:szCs w:val="30"/>
        </w:rPr>
        <w:t>1.3 与通用大模型对话的关键差异</w:t>
      </w:r>
      <w:bookmarkEnd w:id="3"/>
    </w:p>
    <w:p w14:paraId="65FC747A">
      <w:pPr>
        <w:spacing w:after="60" w:line="312" w:lineRule="auto"/>
        <w:ind w:firstLine="480"/>
        <w:jc w:val="both"/>
      </w:pPr>
      <w:r>
        <w:rPr>
          <w:rFonts w:ascii="Times New Roman" w:eastAsia="宋体"/>
          <w:color w:val="182030"/>
          <w:sz w:val="24"/>
          <w:szCs w:val="24"/>
        </w:rPr>
        <w:t>与直接使用通用大模型对话相比，本平台在工程上补齐了四项能力，这也是其能够进入实际业务场景的前提：</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438"/>
        <w:gridCol w:w="3775"/>
        <w:gridCol w:w="3775"/>
      </w:tblGrid>
      <w:tr w14:paraId="0D959547">
        <w:trPr>
          <w:cantSplit/>
          <w:tblHeader/>
        </w:trPr>
        <w:tc>
          <w:tcPr>
            <w:tcW w:w="800" w:type="pct"/>
            <w:shd w:val="clear" w:color="auto" w:fill="1284BA"/>
            <w:tcMar>
              <w:top w:w="60" w:type="dxa"/>
              <w:left w:w="100" w:type="dxa"/>
              <w:bottom w:w="60" w:type="dxa"/>
              <w:right w:w="100" w:type="dxa"/>
            </w:tcMar>
            <w:vAlign w:val="center"/>
          </w:tcPr>
          <w:p w14:paraId="35988D3E">
            <w:pPr>
              <w:spacing w:line="312" w:lineRule="auto"/>
            </w:pPr>
            <w:r>
              <w:rPr>
                <w:rFonts w:ascii="Times New Roman" w:eastAsia="宋体"/>
                <w:b/>
                <w:bCs/>
                <w:color w:val="FFFFFF"/>
                <w:sz w:val="21"/>
                <w:szCs w:val="21"/>
              </w:rPr>
              <w:t>对比维度</w:t>
            </w:r>
          </w:p>
        </w:tc>
        <w:tc>
          <w:tcPr>
            <w:tcW w:w="2100" w:type="pct"/>
            <w:shd w:val="clear" w:color="auto" w:fill="1284BA"/>
            <w:tcMar>
              <w:top w:w="60" w:type="dxa"/>
              <w:left w:w="100" w:type="dxa"/>
              <w:bottom w:w="60" w:type="dxa"/>
              <w:right w:w="100" w:type="dxa"/>
            </w:tcMar>
            <w:vAlign w:val="center"/>
          </w:tcPr>
          <w:p w14:paraId="22BC27E9">
            <w:pPr>
              <w:spacing w:line="312" w:lineRule="auto"/>
            </w:pPr>
            <w:r>
              <w:rPr>
                <w:rFonts w:ascii="Times New Roman" w:eastAsia="宋体"/>
                <w:b/>
                <w:bCs/>
                <w:color w:val="FFFFFF"/>
                <w:sz w:val="21"/>
                <w:szCs w:val="21"/>
              </w:rPr>
              <w:t>通用大模型对话</w:t>
            </w:r>
          </w:p>
        </w:tc>
        <w:tc>
          <w:tcPr>
            <w:tcW w:w="2100" w:type="pct"/>
            <w:shd w:val="clear" w:color="auto" w:fill="1284BA"/>
            <w:tcMar>
              <w:top w:w="60" w:type="dxa"/>
              <w:left w:w="100" w:type="dxa"/>
              <w:bottom w:w="60" w:type="dxa"/>
              <w:right w:w="100" w:type="dxa"/>
            </w:tcMar>
            <w:vAlign w:val="center"/>
          </w:tcPr>
          <w:p w14:paraId="08E81284">
            <w:pPr>
              <w:spacing w:line="312" w:lineRule="auto"/>
            </w:pPr>
            <w:r>
              <w:rPr>
                <w:rFonts w:ascii="Times New Roman" w:eastAsia="宋体"/>
                <w:b/>
                <w:bCs/>
                <w:color w:val="FFFFFF"/>
                <w:sz w:val="21"/>
                <w:szCs w:val="21"/>
              </w:rPr>
              <w:t>本平台</w:t>
            </w:r>
          </w:p>
        </w:tc>
      </w:tr>
      <w:tr w14:paraId="035CD3DF">
        <w:trPr>
          <w:cantSplit/>
        </w:trPr>
        <w:tc>
          <w:tcPr>
            <w:tcW w:w="800" w:type="pct"/>
            <w:tcMar>
              <w:top w:w="60" w:type="dxa"/>
              <w:left w:w="100" w:type="dxa"/>
              <w:bottom w:w="60" w:type="dxa"/>
              <w:right w:w="100" w:type="dxa"/>
            </w:tcMar>
            <w:vAlign w:val="center"/>
          </w:tcPr>
          <w:p w14:paraId="015B830E">
            <w:pPr>
              <w:spacing w:line="312" w:lineRule="auto"/>
            </w:pPr>
            <w:r>
              <w:rPr>
                <w:rFonts w:ascii="Times New Roman" w:eastAsia="宋体"/>
                <w:b w:val="0"/>
                <w:bCs w:val="0"/>
                <w:color w:val="182030"/>
                <w:sz w:val="21"/>
                <w:szCs w:val="21"/>
              </w:rPr>
              <w:t>数据来源</w:t>
            </w:r>
          </w:p>
        </w:tc>
        <w:tc>
          <w:tcPr>
            <w:tcW w:w="2100" w:type="pct"/>
            <w:tcMar>
              <w:top w:w="60" w:type="dxa"/>
              <w:left w:w="100" w:type="dxa"/>
              <w:bottom w:w="60" w:type="dxa"/>
              <w:right w:w="100" w:type="dxa"/>
            </w:tcMar>
            <w:vAlign w:val="center"/>
          </w:tcPr>
          <w:p w14:paraId="22696946">
            <w:pPr>
              <w:spacing w:line="312" w:lineRule="auto"/>
            </w:pPr>
            <w:r>
              <w:rPr>
                <w:rFonts w:ascii="Times New Roman" w:eastAsia="宋体"/>
                <w:b w:val="0"/>
                <w:bCs w:val="0"/>
                <w:color w:val="182030"/>
                <w:sz w:val="21"/>
                <w:szCs w:val="21"/>
              </w:rPr>
              <w:t>依赖模型训练数据，无法访问业务数据</w:t>
            </w:r>
          </w:p>
        </w:tc>
        <w:tc>
          <w:tcPr>
            <w:tcW w:w="2100" w:type="pct"/>
            <w:tcMar>
              <w:top w:w="60" w:type="dxa"/>
              <w:left w:w="100" w:type="dxa"/>
              <w:bottom w:w="60" w:type="dxa"/>
              <w:right w:w="100" w:type="dxa"/>
            </w:tcMar>
            <w:vAlign w:val="center"/>
          </w:tcPr>
          <w:p w14:paraId="2E7FCF2E">
            <w:pPr>
              <w:spacing w:line="312" w:lineRule="auto"/>
            </w:pPr>
            <w:r>
              <w:rPr>
                <w:rFonts w:ascii="Times New Roman" w:eastAsia="宋体"/>
                <w:b w:val="0"/>
                <w:bCs w:val="0"/>
                <w:color w:val="182030"/>
                <w:sz w:val="21"/>
                <w:szCs w:val="21"/>
              </w:rPr>
              <w:t>接通账号隔离的数据库与知识库，回答基于真实数据</w:t>
            </w:r>
          </w:p>
        </w:tc>
      </w:tr>
      <w:tr w14:paraId="22932C4A">
        <w:trPr>
          <w:cantSplit/>
        </w:trPr>
        <w:tc>
          <w:tcPr>
            <w:tcW w:w="800" w:type="pct"/>
            <w:tcMar>
              <w:top w:w="60" w:type="dxa"/>
              <w:left w:w="100" w:type="dxa"/>
              <w:bottom w:w="60" w:type="dxa"/>
              <w:right w:w="100" w:type="dxa"/>
            </w:tcMar>
            <w:vAlign w:val="center"/>
          </w:tcPr>
          <w:p w14:paraId="625A824F">
            <w:pPr>
              <w:spacing w:line="312" w:lineRule="auto"/>
            </w:pPr>
            <w:r>
              <w:rPr>
                <w:rFonts w:ascii="Times New Roman" w:eastAsia="宋体"/>
                <w:b w:val="0"/>
                <w:bCs w:val="0"/>
                <w:color w:val="182030"/>
                <w:sz w:val="21"/>
                <w:szCs w:val="21"/>
              </w:rPr>
              <w:t>数据规模</w:t>
            </w:r>
          </w:p>
        </w:tc>
        <w:tc>
          <w:tcPr>
            <w:tcW w:w="2100" w:type="pct"/>
            <w:tcMar>
              <w:top w:w="60" w:type="dxa"/>
              <w:left w:w="100" w:type="dxa"/>
              <w:bottom w:w="60" w:type="dxa"/>
              <w:right w:w="100" w:type="dxa"/>
            </w:tcMar>
            <w:vAlign w:val="center"/>
          </w:tcPr>
          <w:p w14:paraId="3091C67C">
            <w:pPr>
              <w:spacing w:line="312" w:lineRule="auto"/>
            </w:pPr>
            <w:r>
              <w:rPr>
                <w:rFonts w:ascii="Times New Roman" w:eastAsia="宋体"/>
                <w:b w:val="0"/>
                <w:bCs w:val="0"/>
                <w:color w:val="182030"/>
                <w:sz w:val="21"/>
                <w:szCs w:val="21"/>
              </w:rPr>
              <w:t>模型上下文有限，无法处理大规模明细数据</w:t>
            </w:r>
          </w:p>
        </w:tc>
        <w:tc>
          <w:tcPr>
            <w:tcW w:w="2100" w:type="pct"/>
            <w:tcMar>
              <w:top w:w="60" w:type="dxa"/>
              <w:left w:w="100" w:type="dxa"/>
              <w:bottom w:w="60" w:type="dxa"/>
              <w:right w:w="100" w:type="dxa"/>
            </w:tcMar>
            <w:vAlign w:val="center"/>
          </w:tcPr>
          <w:p w14:paraId="482BBF3A">
            <w:pPr>
              <w:spacing w:line="312" w:lineRule="auto"/>
            </w:pPr>
            <w:r>
              <w:rPr>
                <w:rFonts w:ascii="Times New Roman" w:eastAsia="宋体"/>
                <w:b w:val="0"/>
                <w:bCs w:val="0"/>
                <w:color w:val="182030"/>
                <w:sz w:val="21"/>
                <w:szCs w:val="21"/>
              </w:rPr>
              <w:t>由程序在数据库中完成聚合计算，模型只处理结论与结构</w:t>
            </w:r>
          </w:p>
        </w:tc>
      </w:tr>
      <w:tr w14:paraId="31665291">
        <w:trPr>
          <w:cantSplit/>
        </w:trPr>
        <w:tc>
          <w:tcPr>
            <w:tcW w:w="800" w:type="pct"/>
            <w:tcMar>
              <w:top w:w="60" w:type="dxa"/>
              <w:left w:w="100" w:type="dxa"/>
              <w:bottom w:w="60" w:type="dxa"/>
              <w:right w:w="100" w:type="dxa"/>
            </w:tcMar>
            <w:vAlign w:val="center"/>
          </w:tcPr>
          <w:p w14:paraId="3EF1297A">
            <w:pPr>
              <w:spacing w:line="312" w:lineRule="auto"/>
            </w:pPr>
            <w:r>
              <w:rPr>
                <w:rFonts w:ascii="Times New Roman" w:eastAsia="宋体"/>
                <w:b w:val="0"/>
                <w:bCs w:val="0"/>
                <w:color w:val="182030"/>
                <w:sz w:val="21"/>
                <w:szCs w:val="21"/>
              </w:rPr>
              <w:t>操作能力</w:t>
            </w:r>
          </w:p>
        </w:tc>
        <w:tc>
          <w:tcPr>
            <w:tcW w:w="2100" w:type="pct"/>
            <w:tcMar>
              <w:top w:w="60" w:type="dxa"/>
              <w:left w:w="100" w:type="dxa"/>
              <w:bottom w:w="60" w:type="dxa"/>
              <w:right w:w="100" w:type="dxa"/>
            </w:tcMar>
            <w:vAlign w:val="center"/>
          </w:tcPr>
          <w:p w14:paraId="3A8753FB">
            <w:pPr>
              <w:spacing w:line="312" w:lineRule="auto"/>
            </w:pPr>
            <w:r>
              <w:rPr>
                <w:rFonts w:ascii="Times New Roman" w:eastAsia="宋体"/>
                <w:b w:val="0"/>
                <w:bCs w:val="0"/>
                <w:color w:val="182030"/>
                <w:sz w:val="21"/>
                <w:szCs w:val="21"/>
              </w:rPr>
              <w:t>仅能生成文本</w:t>
            </w:r>
          </w:p>
        </w:tc>
        <w:tc>
          <w:tcPr>
            <w:tcW w:w="2100" w:type="pct"/>
            <w:tcMar>
              <w:top w:w="60" w:type="dxa"/>
              <w:left w:w="100" w:type="dxa"/>
              <w:bottom w:w="60" w:type="dxa"/>
              <w:right w:w="100" w:type="dxa"/>
            </w:tcMar>
            <w:vAlign w:val="center"/>
          </w:tcPr>
          <w:p w14:paraId="6EFE7A11">
            <w:pPr>
              <w:spacing w:line="312" w:lineRule="auto"/>
            </w:pPr>
            <w:r>
              <w:rPr>
                <w:rFonts w:ascii="Times New Roman" w:eastAsia="宋体"/>
                <w:b w:val="0"/>
                <w:bCs w:val="0"/>
                <w:color w:val="182030"/>
                <w:sz w:val="21"/>
                <w:szCs w:val="21"/>
              </w:rPr>
              <w:t>可调用工具执行查询、导入、制表、编程、生成文档等动作</w:t>
            </w:r>
          </w:p>
        </w:tc>
      </w:tr>
      <w:tr w14:paraId="1A683C64">
        <w:trPr>
          <w:cantSplit/>
        </w:trPr>
        <w:tc>
          <w:tcPr>
            <w:tcW w:w="800" w:type="pct"/>
            <w:tcMar>
              <w:top w:w="60" w:type="dxa"/>
              <w:left w:w="100" w:type="dxa"/>
              <w:bottom w:w="60" w:type="dxa"/>
              <w:right w:w="100" w:type="dxa"/>
            </w:tcMar>
            <w:vAlign w:val="center"/>
          </w:tcPr>
          <w:p w14:paraId="5D1BC731">
            <w:pPr>
              <w:spacing w:line="312" w:lineRule="auto"/>
            </w:pPr>
            <w:r>
              <w:rPr>
                <w:rFonts w:ascii="Times New Roman" w:eastAsia="宋体"/>
                <w:b w:val="0"/>
                <w:bCs w:val="0"/>
                <w:color w:val="182030"/>
                <w:sz w:val="21"/>
                <w:szCs w:val="21"/>
              </w:rPr>
              <w:t>环境安全</w:t>
            </w:r>
          </w:p>
        </w:tc>
        <w:tc>
          <w:tcPr>
            <w:tcW w:w="2100" w:type="pct"/>
            <w:tcMar>
              <w:top w:w="60" w:type="dxa"/>
              <w:left w:w="100" w:type="dxa"/>
              <w:bottom w:w="60" w:type="dxa"/>
              <w:right w:w="100" w:type="dxa"/>
            </w:tcMar>
            <w:vAlign w:val="center"/>
          </w:tcPr>
          <w:p w14:paraId="49D7B160">
            <w:pPr>
              <w:spacing w:line="312" w:lineRule="auto"/>
            </w:pPr>
            <w:r>
              <w:rPr>
                <w:rFonts w:ascii="Times New Roman" w:eastAsia="宋体"/>
                <w:b w:val="0"/>
                <w:bCs w:val="0"/>
                <w:color w:val="182030"/>
                <w:sz w:val="21"/>
                <w:szCs w:val="21"/>
              </w:rPr>
              <w:t>公网服务，数据需外发</w:t>
            </w:r>
          </w:p>
        </w:tc>
        <w:tc>
          <w:tcPr>
            <w:tcW w:w="2100" w:type="pct"/>
            <w:tcMar>
              <w:top w:w="60" w:type="dxa"/>
              <w:left w:w="100" w:type="dxa"/>
              <w:bottom w:w="60" w:type="dxa"/>
              <w:right w:w="100" w:type="dxa"/>
            </w:tcMar>
            <w:vAlign w:val="center"/>
          </w:tcPr>
          <w:p w14:paraId="5FFFF815">
            <w:pPr>
              <w:spacing w:line="312" w:lineRule="auto"/>
            </w:pPr>
            <w:r>
              <w:rPr>
                <w:rFonts w:ascii="Times New Roman" w:eastAsia="宋体"/>
                <w:b w:val="0"/>
                <w:bCs w:val="0"/>
                <w:color w:val="182030"/>
                <w:sz w:val="21"/>
                <w:szCs w:val="21"/>
              </w:rPr>
              <w:t>全内网离线部署，数据不出内网</w:t>
            </w:r>
          </w:p>
        </w:tc>
      </w:tr>
    </w:tbl>
    <w:p w14:paraId="56B0873C">
      <w:pPr>
        <w:spacing w:before="60" w:after="240" w:line="312" w:lineRule="auto"/>
        <w:jc w:val="center"/>
      </w:pPr>
      <w:r>
        <w:rPr>
          <w:rFonts w:ascii="Times New Roman" w:eastAsia="宋体"/>
          <w:color w:val="606060"/>
          <w:sz w:val="21"/>
          <w:szCs w:val="21"/>
        </w:rPr>
        <w:t>表 1-1 本平台与通用大模型对话的能力差异</w:t>
      </w:r>
    </w:p>
    <w:p w14:paraId="39488884">
      <w:pPr>
        <w:pStyle w:val="2"/>
        <w:pageBreakBefore/>
        <w:spacing w:before="360" w:after="160" w:line="368" w:lineRule="atLeast"/>
      </w:pPr>
      <w:bookmarkStart w:id="4" w:name="_Toc5"/>
      <w:r>
        <w:rPr>
          <w:rFonts w:ascii="Times New Roman" w:eastAsia="黑体"/>
          <w:b/>
          <w:bCs/>
          <w:color w:val="1284BA"/>
          <w:sz w:val="32"/>
          <w:szCs w:val="32"/>
        </w:rPr>
        <w:t>二、总体技术架构</w:t>
      </w:r>
      <w:bookmarkEnd w:id="4"/>
    </w:p>
    <w:p w14:paraId="19D656C0">
      <w:pPr>
        <w:pStyle w:val="3"/>
        <w:spacing w:before="280" w:after="120" w:line="345" w:lineRule="atLeast"/>
      </w:pPr>
      <w:bookmarkStart w:id="5" w:name="_Toc6"/>
      <w:r>
        <w:rPr>
          <w:rFonts w:ascii="Times New Roman" w:eastAsia="黑体"/>
          <w:b/>
          <w:bCs/>
          <w:color w:val="1284BA"/>
          <w:sz w:val="30"/>
          <w:szCs w:val="30"/>
        </w:rPr>
        <w:t>2.1 分层架构</w:t>
      </w:r>
      <w:bookmarkEnd w:id="5"/>
    </w:p>
    <w:p w14:paraId="68585B4B">
      <w:pPr>
        <w:spacing w:after="60" w:line="312" w:lineRule="auto"/>
        <w:ind w:firstLine="480"/>
        <w:jc w:val="both"/>
      </w:pPr>
      <w:r>
        <w:rPr>
          <w:rFonts w:ascii="Times New Roman" w:eastAsia="宋体"/>
          <w:color w:val="182030"/>
          <w:sz w:val="24"/>
          <w:szCs w:val="24"/>
        </w:rPr>
        <w:t>平台在部署上分为主应用与知识服务两个组成部分，均以容器方式运行，通过内网接口通信，并共用一个</w:t>
      </w:r>
      <w:r>
        <w:rPr>
          <w:rFonts w:hint="eastAsia"/>
          <w:color w:val="182030"/>
          <w:sz w:val="24"/>
          <w:szCs w:val="24"/>
          <w:lang w:val="en-US" w:eastAsia="zh-CN"/>
        </w:rPr>
        <w:t>关系数据库</w:t>
      </w:r>
      <w:r>
        <w:rPr>
          <w:rFonts w:ascii="Times New Roman" w:eastAsia="宋体"/>
          <w:color w:val="182030"/>
          <w:sz w:val="24"/>
          <w:szCs w:val="24"/>
        </w:rPr>
        <w:t>实例。整体自上而下可分为五层：</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438"/>
        <w:gridCol w:w="3236"/>
        <w:gridCol w:w="4314"/>
      </w:tblGrid>
      <w:tr w14:paraId="2729721D">
        <w:trPr>
          <w:cantSplit/>
          <w:tblHeader/>
        </w:trPr>
        <w:tc>
          <w:tcPr>
            <w:tcW w:w="800" w:type="pct"/>
            <w:shd w:val="clear" w:color="auto" w:fill="1284BA"/>
            <w:tcMar>
              <w:top w:w="60" w:type="dxa"/>
              <w:left w:w="100" w:type="dxa"/>
              <w:bottom w:w="60" w:type="dxa"/>
              <w:right w:w="100" w:type="dxa"/>
            </w:tcMar>
            <w:vAlign w:val="center"/>
          </w:tcPr>
          <w:p w14:paraId="52457F96">
            <w:pPr>
              <w:spacing w:line="312" w:lineRule="auto"/>
            </w:pPr>
            <w:r>
              <w:rPr>
                <w:rFonts w:ascii="Times New Roman" w:eastAsia="宋体"/>
                <w:b/>
                <w:bCs/>
                <w:color w:val="FFFFFF"/>
                <w:sz w:val="21"/>
                <w:szCs w:val="21"/>
              </w:rPr>
              <w:t>层级</w:t>
            </w:r>
          </w:p>
        </w:tc>
        <w:tc>
          <w:tcPr>
            <w:tcW w:w="1800" w:type="pct"/>
            <w:shd w:val="clear" w:color="auto" w:fill="1284BA"/>
            <w:tcMar>
              <w:top w:w="60" w:type="dxa"/>
              <w:left w:w="100" w:type="dxa"/>
              <w:bottom w:w="60" w:type="dxa"/>
              <w:right w:w="100" w:type="dxa"/>
            </w:tcMar>
            <w:vAlign w:val="center"/>
          </w:tcPr>
          <w:p w14:paraId="08AF88EA">
            <w:pPr>
              <w:spacing w:line="312" w:lineRule="auto"/>
            </w:pPr>
            <w:r>
              <w:rPr>
                <w:rFonts w:ascii="Times New Roman" w:eastAsia="宋体"/>
                <w:b/>
                <w:bCs/>
                <w:color w:val="FFFFFF"/>
                <w:sz w:val="21"/>
                <w:szCs w:val="21"/>
              </w:rPr>
              <w:t>组成</w:t>
            </w:r>
          </w:p>
        </w:tc>
        <w:tc>
          <w:tcPr>
            <w:tcW w:w="2400" w:type="pct"/>
            <w:shd w:val="clear" w:color="auto" w:fill="1284BA"/>
            <w:tcMar>
              <w:top w:w="60" w:type="dxa"/>
              <w:left w:w="100" w:type="dxa"/>
              <w:bottom w:w="60" w:type="dxa"/>
              <w:right w:w="100" w:type="dxa"/>
            </w:tcMar>
            <w:vAlign w:val="center"/>
          </w:tcPr>
          <w:p w14:paraId="1EBBC9B1">
            <w:pPr>
              <w:spacing w:line="312" w:lineRule="auto"/>
            </w:pPr>
            <w:r>
              <w:rPr>
                <w:rFonts w:ascii="Times New Roman" w:eastAsia="宋体"/>
                <w:b/>
                <w:bCs/>
                <w:color w:val="FFFFFF"/>
                <w:sz w:val="21"/>
                <w:szCs w:val="21"/>
              </w:rPr>
              <w:t>主要职责</w:t>
            </w:r>
          </w:p>
        </w:tc>
      </w:tr>
      <w:tr w14:paraId="6358E2FD">
        <w:trPr>
          <w:cantSplit/>
        </w:trPr>
        <w:tc>
          <w:tcPr>
            <w:tcW w:w="800" w:type="pct"/>
            <w:tcMar>
              <w:top w:w="60" w:type="dxa"/>
              <w:left w:w="100" w:type="dxa"/>
              <w:bottom w:w="60" w:type="dxa"/>
              <w:right w:w="100" w:type="dxa"/>
            </w:tcMar>
            <w:vAlign w:val="center"/>
          </w:tcPr>
          <w:p w14:paraId="1A68DC14">
            <w:pPr>
              <w:spacing w:line="312" w:lineRule="auto"/>
            </w:pPr>
            <w:r>
              <w:rPr>
                <w:rFonts w:ascii="Times New Roman" w:eastAsia="宋体"/>
                <w:b w:val="0"/>
                <w:bCs w:val="0"/>
                <w:color w:val="182030"/>
                <w:sz w:val="21"/>
                <w:szCs w:val="21"/>
              </w:rPr>
              <w:t>交互层</w:t>
            </w:r>
          </w:p>
        </w:tc>
        <w:tc>
          <w:tcPr>
            <w:tcW w:w="1800" w:type="pct"/>
            <w:tcMar>
              <w:top w:w="60" w:type="dxa"/>
              <w:left w:w="100" w:type="dxa"/>
              <w:bottom w:w="60" w:type="dxa"/>
              <w:right w:w="100" w:type="dxa"/>
            </w:tcMar>
            <w:vAlign w:val="center"/>
          </w:tcPr>
          <w:p w14:paraId="7F02138A">
            <w:pPr>
              <w:spacing w:line="312" w:lineRule="auto"/>
            </w:pPr>
            <w:r>
              <w:rPr>
                <w:rFonts w:ascii="Times New Roman" w:eastAsia="宋体"/>
                <w:b w:val="0"/>
                <w:bCs w:val="0"/>
                <w:color w:val="182030"/>
                <w:sz w:val="21"/>
                <w:szCs w:val="21"/>
              </w:rPr>
              <w:t>浏览器控制台（React 单页应用）</w:t>
            </w:r>
          </w:p>
        </w:tc>
        <w:tc>
          <w:tcPr>
            <w:tcW w:w="2400" w:type="pct"/>
            <w:tcMar>
              <w:top w:w="60" w:type="dxa"/>
              <w:left w:w="100" w:type="dxa"/>
              <w:bottom w:w="60" w:type="dxa"/>
              <w:right w:w="100" w:type="dxa"/>
            </w:tcMar>
            <w:vAlign w:val="center"/>
          </w:tcPr>
          <w:p w14:paraId="5B61B9DF">
            <w:pPr>
              <w:spacing w:line="312" w:lineRule="auto"/>
            </w:pPr>
            <w:r>
              <w:rPr>
                <w:rFonts w:ascii="Times New Roman" w:eastAsia="宋体"/>
                <w:b w:val="0"/>
                <w:bCs w:val="0"/>
                <w:color w:val="182030"/>
                <w:sz w:val="21"/>
                <w:szCs w:val="21"/>
              </w:rPr>
              <w:t>对话交互、会话管理、知识空间、数据分析、文件与技能管理、参数配置</w:t>
            </w:r>
          </w:p>
        </w:tc>
      </w:tr>
      <w:tr w14:paraId="2098D3D4">
        <w:trPr>
          <w:cantSplit/>
        </w:trPr>
        <w:tc>
          <w:tcPr>
            <w:tcW w:w="800" w:type="pct"/>
            <w:tcMar>
              <w:top w:w="60" w:type="dxa"/>
              <w:left w:w="100" w:type="dxa"/>
              <w:bottom w:w="60" w:type="dxa"/>
              <w:right w:w="100" w:type="dxa"/>
            </w:tcMar>
            <w:vAlign w:val="center"/>
          </w:tcPr>
          <w:p w14:paraId="271B0A8B">
            <w:pPr>
              <w:spacing w:line="312" w:lineRule="auto"/>
            </w:pPr>
            <w:r>
              <w:rPr>
                <w:rFonts w:ascii="Times New Roman" w:eastAsia="宋体"/>
                <w:b w:val="0"/>
                <w:bCs w:val="0"/>
                <w:color w:val="182030"/>
                <w:sz w:val="21"/>
                <w:szCs w:val="21"/>
              </w:rPr>
              <w:t>网关与鉴权层</w:t>
            </w:r>
          </w:p>
        </w:tc>
        <w:tc>
          <w:tcPr>
            <w:tcW w:w="1800" w:type="pct"/>
            <w:tcMar>
              <w:top w:w="60" w:type="dxa"/>
              <w:left w:w="100" w:type="dxa"/>
              <w:bottom w:w="60" w:type="dxa"/>
              <w:right w:w="100" w:type="dxa"/>
            </w:tcMar>
            <w:vAlign w:val="center"/>
          </w:tcPr>
          <w:p w14:paraId="77827E08">
            <w:pPr>
              <w:spacing w:line="312" w:lineRule="auto"/>
            </w:pPr>
            <w:r>
              <w:rPr>
                <w:rFonts w:ascii="Times New Roman" w:eastAsia="宋体"/>
                <w:b w:val="0"/>
                <w:bCs w:val="0"/>
                <w:color w:val="182030"/>
                <w:sz w:val="21"/>
                <w:szCs w:val="21"/>
              </w:rPr>
              <w:t>FastAPI 应用入口与认证中间件</w:t>
            </w:r>
          </w:p>
        </w:tc>
        <w:tc>
          <w:tcPr>
            <w:tcW w:w="2400" w:type="pct"/>
            <w:tcMar>
              <w:top w:w="60" w:type="dxa"/>
              <w:left w:w="100" w:type="dxa"/>
              <w:bottom w:w="60" w:type="dxa"/>
              <w:right w:w="100" w:type="dxa"/>
            </w:tcMar>
            <w:vAlign w:val="center"/>
          </w:tcPr>
          <w:p w14:paraId="457B5558">
            <w:pPr>
              <w:spacing w:line="312" w:lineRule="auto"/>
            </w:pPr>
            <w:r>
              <w:rPr>
                <w:rFonts w:ascii="Times New Roman" w:eastAsia="宋体"/>
                <w:b w:val="0"/>
                <w:bCs w:val="0"/>
                <w:color w:val="182030"/>
                <w:sz w:val="21"/>
                <w:szCs w:val="21"/>
              </w:rPr>
              <w:t>令牌校验、账号识别、请求路由、公开路径放行控制</w:t>
            </w:r>
          </w:p>
        </w:tc>
      </w:tr>
      <w:tr w14:paraId="732C0717">
        <w:trPr>
          <w:cantSplit/>
        </w:trPr>
        <w:tc>
          <w:tcPr>
            <w:tcW w:w="800" w:type="pct"/>
            <w:tcMar>
              <w:top w:w="60" w:type="dxa"/>
              <w:left w:w="100" w:type="dxa"/>
              <w:bottom w:w="60" w:type="dxa"/>
              <w:right w:w="100" w:type="dxa"/>
            </w:tcMar>
            <w:vAlign w:val="center"/>
          </w:tcPr>
          <w:p w14:paraId="64B37676">
            <w:pPr>
              <w:spacing w:line="312" w:lineRule="auto"/>
            </w:pPr>
            <w:r>
              <w:rPr>
                <w:rFonts w:ascii="Times New Roman" w:eastAsia="宋体"/>
                <w:b w:val="0"/>
                <w:bCs w:val="0"/>
                <w:color w:val="182030"/>
                <w:sz w:val="21"/>
                <w:szCs w:val="21"/>
              </w:rPr>
              <w:t>智能体运行时</w:t>
            </w:r>
          </w:p>
        </w:tc>
        <w:tc>
          <w:tcPr>
            <w:tcW w:w="1800" w:type="pct"/>
            <w:tcMar>
              <w:top w:w="60" w:type="dxa"/>
              <w:left w:w="100" w:type="dxa"/>
              <w:bottom w:w="60" w:type="dxa"/>
              <w:right w:w="100" w:type="dxa"/>
            </w:tcMar>
            <w:vAlign w:val="center"/>
          </w:tcPr>
          <w:p w14:paraId="0D3B9DE5">
            <w:pPr>
              <w:spacing w:line="312" w:lineRule="auto"/>
            </w:pPr>
            <w:r>
              <w:rPr>
                <w:rFonts w:ascii="Times New Roman" w:eastAsia="宋体"/>
                <w:b w:val="0"/>
                <w:bCs w:val="0"/>
                <w:color w:val="182030"/>
                <w:sz w:val="21"/>
                <w:szCs w:val="21"/>
              </w:rPr>
              <w:t>运行时编排器、智能体构建器、执行器、工具协调器</w:t>
            </w:r>
          </w:p>
        </w:tc>
        <w:tc>
          <w:tcPr>
            <w:tcW w:w="2400" w:type="pct"/>
            <w:tcMar>
              <w:top w:w="60" w:type="dxa"/>
              <w:left w:w="100" w:type="dxa"/>
              <w:bottom w:w="60" w:type="dxa"/>
              <w:right w:w="100" w:type="dxa"/>
            </w:tcMar>
            <w:vAlign w:val="center"/>
          </w:tcPr>
          <w:p w14:paraId="11B93413">
            <w:pPr>
              <w:spacing w:line="312" w:lineRule="auto"/>
            </w:pPr>
            <w:r>
              <w:rPr>
                <w:rFonts w:ascii="Times New Roman" w:eastAsia="宋体"/>
                <w:b w:val="0"/>
                <w:bCs w:val="0"/>
                <w:color w:val="182030"/>
                <w:sz w:val="21"/>
                <w:szCs w:val="21"/>
              </w:rPr>
              <w:t>按阶段编排一次请求，组装模型与工具，驱动推理与工具调用，输出流式事件</w:t>
            </w:r>
          </w:p>
        </w:tc>
      </w:tr>
      <w:tr w14:paraId="66C5E726">
        <w:trPr>
          <w:cantSplit/>
        </w:trPr>
        <w:tc>
          <w:tcPr>
            <w:tcW w:w="800" w:type="pct"/>
            <w:tcMar>
              <w:top w:w="60" w:type="dxa"/>
              <w:left w:w="100" w:type="dxa"/>
              <w:bottom w:w="60" w:type="dxa"/>
              <w:right w:w="100" w:type="dxa"/>
            </w:tcMar>
            <w:vAlign w:val="center"/>
          </w:tcPr>
          <w:p w14:paraId="5C01AF19">
            <w:pPr>
              <w:spacing w:line="312" w:lineRule="auto"/>
            </w:pPr>
            <w:r>
              <w:rPr>
                <w:rFonts w:ascii="Times New Roman" w:eastAsia="宋体"/>
                <w:b w:val="0"/>
                <w:bCs w:val="0"/>
                <w:color w:val="182030"/>
                <w:sz w:val="21"/>
                <w:szCs w:val="21"/>
              </w:rPr>
              <w:t>能力与数据层</w:t>
            </w:r>
          </w:p>
        </w:tc>
        <w:tc>
          <w:tcPr>
            <w:tcW w:w="1800" w:type="pct"/>
            <w:tcMar>
              <w:top w:w="60" w:type="dxa"/>
              <w:left w:w="100" w:type="dxa"/>
              <w:bottom w:w="60" w:type="dxa"/>
              <w:right w:w="100" w:type="dxa"/>
            </w:tcMar>
            <w:vAlign w:val="center"/>
          </w:tcPr>
          <w:p w14:paraId="3810620E">
            <w:pPr>
              <w:spacing w:line="312" w:lineRule="auto"/>
            </w:pPr>
            <w:r>
              <w:rPr>
                <w:rFonts w:ascii="Times New Roman" w:eastAsia="宋体"/>
                <w:b w:val="0"/>
                <w:bCs w:val="0"/>
                <w:color w:val="182030"/>
                <w:sz w:val="21"/>
                <w:szCs w:val="21"/>
              </w:rPr>
              <w:t>文件、数据分析、知识检索、文档生成、代码编写等工具</w:t>
            </w:r>
          </w:p>
        </w:tc>
        <w:tc>
          <w:tcPr>
            <w:tcW w:w="2400" w:type="pct"/>
            <w:tcMar>
              <w:top w:w="60" w:type="dxa"/>
              <w:left w:w="100" w:type="dxa"/>
              <w:bottom w:w="60" w:type="dxa"/>
              <w:right w:w="100" w:type="dxa"/>
            </w:tcMar>
            <w:vAlign w:val="center"/>
          </w:tcPr>
          <w:p w14:paraId="3B4BFBD7">
            <w:pPr>
              <w:spacing w:line="312" w:lineRule="auto"/>
            </w:pPr>
            <w:r>
              <w:rPr>
                <w:rFonts w:ascii="Times New Roman" w:eastAsia="宋体"/>
                <w:b w:val="0"/>
                <w:bCs w:val="0"/>
                <w:color w:val="182030"/>
                <w:sz w:val="21"/>
                <w:szCs w:val="21"/>
              </w:rPr>
              <w:t>把模型决策转化为对数据库、文件系统、外部服务的具体操作</w:t>
            </w:r>
          </w:p>
        </w:tc>
      </w:tr>
      <w:tr w14:paraId="5EE6FB07">
        <w:trPr>
          <w:cantSplit/>
        </w:trPr>
        <w:tc>
          <w:tcPr>
            <w:tcW w:w="800" w:type="pct"/>
            <w:tcMar>
              <w:top w:w="60" w:type="dxa"/>
              <w:left w:w="100" w:type="dxa"/>
              <w:bottom w:w="60" w:type="dxa"/>
              <w:right w:w="100" w:type="dxa"/>
            </w:tcMar>
            <w:vAlign w:val="center"/>
          </w:tcPr>
          <w:p w14:paraId="77FF97FC">
            <w:pPr>
              <w:spacing w:line="312" w:lineRule="auto"/>
            </w:pPr>
            <w:r>
              <w:rPr>
                <w:rFonts w:ascii="Times New Roman" w:eastAsia="宋体"/>
                <w:b w:val="0"/>
                <w:bCs w:val="0"/>
                <w:color w:val="182030"/>
                <w:sz w:val="21"/>
                <w:szCs w:val="21"/>
              </w:rPr>
              <w:t>存储层</w:t>
            </w:r>
          </w:p>
        </w:tc>
        <w:tc>
          <w:tcPr>
            <w:tcW w:w="1800" w:type="pct"/>
            <w:tcMar>
              <w:top w:w="60" w:type="dxa"/>
              <w:left w:w="100" w:type="dxa"/>
              <w:bottom w:w="60" w:type="dxa"/>
              <w:right w:w="100" w:type="dxa"/>
            </w:tcMar>
            <w:vAlign w:val="center"/>
          </w:tcPr>
          <w:p w14:paraId="68B79C2C">
            <w:pPr>
              <w:spacing w:line="312" w:lineRule="auto"/>
              <w:rPr>
                <w:rFonts w:hint="eastAsia" w:eastAsia="宋体"/>
                <w:lang w:eastAsia="zh-CN"/>
              </w:rPr>
            </w:pPr>
            <w:r>
              <w:rPr>
                <w:rFonts w:ascii="Times New Roman" w:eastAsia="宋体"/>
                <w:b w:val="0"/>
                <w:bCs w:val="0"/>
                <w:color w:val="182030"/>
                <w:sz w:val="21"/>
                <w:szCs w:val="21"/>
              </w:rPr>
              <w:t>PostgreSQL 数据库、LightRAG 图谱、工作区文件系统</w:t>
            </w:r>
            <w:r>
              <w:rPr>
                <w:rFonts w:hint="eastAsia"/>
                <w:b w:val="0"/>
                <w:bCs w:val="0"/>
                <w:color w:val="182030"/>
                <w:sz w:val="21"/>
                <w:szCs w:val="21"/>
                <w:lang w:eastAsia="zh-CN"/>
              </w:rPr>
              <w:t>（</w:t>
            </w:r>
            <w:r>
              <w:rPr>
                <w:rFonts w:hint="eastAsia"/>
                <w:b w:val="0"/>
                <w:bCs w:val="0"/>
                <w:color w:val="182030"/>
                <w:sz w:val="21"/>
                <w:szCs w:val="21"/>
                <w:lang w:val="en-US" w:eastAsia="zh-CN"/>
              </w:rPr>
              <w:t>可扩展minIO</w:t>
            </w:r>
            <w:r>
              <w:rPr>
                <w:rFonts w:hint="eastAsia"/>
                <w:b w:val="0"/>
                <w:bCs w:val="0"/>
                <w:color w:val="182030"/>
                <w:sz w:val="21"/>
                <w:szCs w:val="21"/>
                <w:lang w:eastAsia="zh-CN"/>
              </w:rPr>
              <w:t>）</w:t>
            </w:r>
          </w:p>
        </w:tc>
        <w:tc>
          <w:tcPr>
            <w:tcW w:w="2400" w:type="pct"/>
            <w:tcMar>
              <w:top w:w="60" w:type="dxa"/>
              <w:left w:w="100" w:type="dxa"/>
              <w:bottom w:w="60" w:type="dxa"/>
              <w:right w:w="100" w:type="dxa"/>
            </w:tcMar>
            <w:vAlign w:val="center"/>
          </w:tcPr>
          <w:p w14:paraId="5F06F7B1">
            <w:pPr>
              <w:spacing w:line="312" w:lineRule="auto"/>
            </w:pPr>
            <w:r>
              <w:rPr>
                <w:rFonts w:ascii="Times New Roman" w:eastAsia="宋体"/>
                <w:b w:val="0"/>
                <w:bCs w:val="0"/>
                <w:color w:val="182030"/>
                <w:sz w:val="21"/>
                <w:szCs w:val="21"/>
              </w:rPr>
              <w:t>知识数据、各账号分析库、会话完整轨迹、治理审计、用量统计、上传与生成的各类文件</w:t>
            </w:r>
          </w:p>
        </w:tc>
      </w:tr>
    </w:tbl>
    <w:p w14:paraId="37B4C35F">
      <w:pPr>
        <w:spacing w:before="60" w:after="240" w:line="312" w:lineRule="auto"/>
        <w:jc w:val="center"/>
      </w:pPr>
      <w:r>
        <w:rPr>
          <w:rFonts w:ascii="Times New Roman" w:eastAsia="宋体"/>
          <w:color w:val="606060"/>
          <w:sz w:val="21"/>
          <w:szCs w:val="21"/>
        </w:rPr>
        <w:t>表 2-1 平台分层架构</w:t>
      </w:r>
    </w:p>
    <w:p w14:paraId="08AA1BC6">
      <w:pPr>
        <w:pStyle w:val="3"/>
        <w:spacing w:before="280" w:after="120" w:line="345" w:lineRule="atLeast"/>
      </w:pPr>
      <w:bookmarkStart w:id="6" w:name="_Toc7"/>
      <w:r>
        <w:rPr>
          <w:rFonts w:ascii="Times New Roman" w:eastAsia="黑体"/>
          <w:b/>
          <w:bCs/>
          <w:color w:val="1284BA"/>
          <w:sz w:val="30"/>
          <w:szCs w:val="30"/>
        </w:rPr>
        <w:t>2.2 技术选型</w:t>
      </w:r>
      <w:bookmarkEnd w:id="6"/>
    </w:p>
    <w:p w14:paraId="6BE5550E">
      <w:pPr>
        <w:spacing w:after="60" w:line="312" w:lineRule="auto"/>
        <w:ind w:firstLine="480"/>
        <w:jc w:val="both"/>
      </w:pPr>
      <w:r>
        <w:rPr>
          <w:rFonts w:ascii="Times New Roman" w:eastAsia="宋体"/>
          <w:color w:val="182030"/>
          <w:sz w:val="24"/>
          <w:szCs w:val="24"/>
        </w:rPr>
        <w:t>平台的技术栈以成熟、可离线、长期可维护为原则选取，核心组件及版本如下：</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798"/>
        <w:gridCol w:w="3056"/>
        <w:gridCol w:w="4134"/>
      </w:tblGrid>
      <w:tr w14:paraId="51FE1F58">
        <w:trPr>
          <w:cantSplit/>
          <w:tblHeader/>
        </w:trPr>
        <w:tc>
          <w:tcPr>
            <w:tcW w:w="1000" w:type="pct"/>
            <w:shd w:val="clear" w:color="auto" w:fill="1284BA"/>
            <w:tcMar>
              <w:top w:w="60" w:type="dxa"/>
              <w:left w:w="100" w:type="dxa"/>
              <w:bottom w:w="60" w:type="dxa"/>
              <w:right w:w="100" w:type="dxa"/>
            </w:tcMar>
            <w:vAlign w:val="center"/>
          </w:tcPr>
          <w:p w14:paraId="561B6563">
            <w:pPr>
              <w:spacing w:line="312" w:lineRule="auto"/>
            </w:pPr>
            <w:r>
              <w:rPr>
                <w:rFonts w:ascii="Times New Roman" w:eastAsia="宋体"/>
                <w:b/>
                <w:bCs/>
                <w:color w:val="FFFFFF"/>
                <w:sz w:val="21"/>
                <w:szCs w:val="21"/>
              </w:rPr>
              <w:t>层次</w:t>
            </w:r>
          </w:p>
        </w:tc>
        <w:tc>
          <w:tcPr>
            <w:tcW w:w="1700" w:type="pct"/>
            <w:shd w:val="clear" w:color="auto" w:fill="1284BA"/>
            <w:tcMar>
              <w:top w:w="60" w:type="dxa"/>
              <w:left w:w="100" w:type="dxa"/>
              <w:bottom w:w="60" w:type="dxa"/>
              <w:right w:w="100" w:type="dxa"/>
            </w:tcMar>
            <w:vAlign w:val="center"/>
          </w:tcPr>
          <w:p w14:paraId="4E550153">
            <w:pPr>
              <w:spacing w:line="312" w:lineRule="auto"/>
            </w:pPr>
            <w:r>
              <w:rPr>
                <w:rFonts w:ascii="Times New Roman" w:eastAsia="宋体"/>
                <w:b/>
                <w:bCs/>
                <w:color w:val="FFFFFF"/>
                <w:sz w:val="21"/>
                <w:szCs w:val="21"/>
              </w:rPr>
              <w:t>组件</w:t>
            </w:r>
          </w:p>
        </w:tc>
        <w:tc>
          <w:tcPr>
            <w:tcW w:w="2300" w:type="pct"/>
            <w:shd w:val="clear" w:color="auto" w:fill="1284BA"/>
            <w:tcMar>
              <w:top w:w="60" w:type="dxa"/>
              <w:left w:w="100" w:type="dxa"/>
              <w:bottom w:w="60" w:type="dxa"/>
              <w:right w:w="100" w:type="dxa"/>
            </w:tcMar>
            <w:vAlign w:val="center"/>
          </w:tcPr>
          <w:p w14:paraId="23D7E4DE">
            <w:pPr>
              <w:spacing w:line="312" w:lineRule="auto"/>
            </w:pPr>
            <w:r>
              <w:rPr>
                <w:rFonts w:ascii="Times New Roman" w:eastAsia="宋体"/>
                <w:b/>
                <w:bCs/>
                <w:color w:val="FFFFFF"/>
                <w:sz w:val="21"/>
                <w:szCs w:val="21"/>
              </w:rPr>
              <w:t>版本/说明</w:t>
            </w:r>
          </w:p>
        </w:tc>
      </w:tr>
      <w:tr w14:paraId="201CD248">
        <w:trPr>
          <w:cantSplit/>
        </w:trPr>
        <w:tc>
          <w:tcPr>
            <w:tcW w:w="1000" w:type="pct"/>
            <w:tcMar>
              <w:top w:w="60" w:type="dxa"/>
              <w:left w:w="100" w:type="dxa"/>
              <w:bottom w:w="60" w:type="dxa"/>
              <w:right w:w="100" w:type="dxa"/>
            </w:tcMar>
            <w:vAlign w:val="center"/>
          </w:tcPr>
          <w:p w14:paraId="239F1D28">
            <w:pPr>
              <w:spacing w:line="312" w:lineRule="auto"/>
            </w:pPr>
            <w:r>
              <w:rPr>
                <w:rFonts w:ascii="Times New Roman" w:eastAsia="宋体"/>
                <w:b w:val="0"/>
                <w:bCs w:val="0"/>
                <w:color w:val="182030"/>
                <w:sz w:val="21"/>
                <w:szCs w:val="21"/>
              </w:rPr>
              <w:t>运行时</w:t>
            </w:r>
          </w:p>
        </w:tc>
        <w:tc>
          <w:tcPr>
            <w:tcW w:w="1700" w:type="pct"/>
            <w:tcMar>
              <w:top w:w="60" w:type="dxa"/>
              <w:left w:w="100" w:type="dxa"/>
              <w:bottom w:w="60" w:type="dxa"/>
              <w:right w:w="100" w:type="dxa"/>
            </w:tcMar>
            <w:vAlign w:val="center"/>
          </w:tcPr>
          <w:p w14:paraId="48E1D135">
            <w:pPr>
              <w:spacing w:line="312" w:lineRule="auto"/>
            </w:pPr>
            <w:r>
              <w:rPr>
                <w:rFonts w:ascii="Times New Roman" w:eastAsia="宋体"/>
                <w:b w:val="0"/>
                <w:bCs w:val="0"/>
                <w:color w:val="182030"/>
                <w:sz w:val="21"/>
                <w:szCs w:val="21"/>
              </w:rPr>
              <w:t>Python</w:t>
            </w:r>
          </w:p>
        </w:tc>
        <w:tc>
          <w:tcPr>
            <w:tcW w:w="2300" w:type="pct"/>
            <w:tcMar>
              <w:top w:w="60" w:type="dxa"/>
              <w:left w:w="100" w:type="dxa"/>
              <w:bottom w:w="60" w:type="dxa"/>
              <w:right w:w="100" w:type="dxa"/>
            </w:tcMar>
            <w:vAlign w:val="center"/>
          </w:tcPr>
          <w:p w14:paraId="47701FCF">
            <w:pPr>
              <w:spacing w:line="312" w:lineRule="auto"/>
            </w:pPr>
            <w:r>
              <w:rPr>
                <w:rFonts w:ascii="Times New Roman" w:eastAsia="宋体"/>
                <w:b w:val="0"/>
                <w:bCs w:val="0"/>
                <w:color w:val="182030"/>
                <w:sz w:val="21"/>
                <w:szCs w:val="21"/>
              </w:rPr>
              <w:t>3.12</w:t>
            </w:r>
          </w:p>
        </w:tc>
      </w:tr>
      <w:tr w14:paraId="3F2E77F1">
        <w:trPr>
          <w:cantSplit/>
        </w:trPr>
        <w:tc>
          <w:tcPr>
            <w:tcW w:w="1000" w:type="pct"/>
            <w:tcMar>
              <w:top w:w="60" w:type="dxa"/>
              <w:left w:w="100" w:type="dxa"/>
              <w:bottom w:w="60" w:type="dxa"/>
              <w:right w:w="100" w:type="dxa"/>
            </w:tcMar>
            <w:vAlign w:val="center"/>
          </w:tcPr>
          <w:p w14:paraId="06B57A11">
            <w:pPr>
              <w:spacing w:line="312" w:lineRule="auto"/>
            </w:pPr>
            <w:r>
              <w:rPr>
                <w:rFonts w:ascii="Times New Roman" w:eastAsia="宋体"/>
                <w:b w:val="0"/>
                <w:bCs w:val="0"/>
                <w:color w:val="182030"/>
                <w:sz w:val="21"/>
                <w:szCs w:val="21"/>
              </w:rPr>
              <w:t>Web 框架</w:t>
            </w:r>
          </w:p>
        </w:tc>
        <w:tc>
          <w:tcPr>
            <w:tcW w:w="1700" w:type="pct"/>
            <w:tcMar>
              <w:top w:w="60" w:type="dxa"/>
              <w:left w:w="100" w:type="dxa"/>
              <w:bottom w:w="60" w:type="dxa"/>
              <w:right w:w="100" w:type="dxa"/>
            </w:tcMar>
            <w:vAlign w:val="center"/>
          </w:tcPr>
          <w:p w14:paraId="424C2D8C">
            <w:pPr>
              <w:spacing w:line="312" w:lineRule="auto"/>
            </w:pPr>
            <w:r>
              <w:rPr>
                <w:rFonts w:ascii="Times New Roman" w:eastAsia="宋体"/>
                <w:b w:val="0"/>
                <w:bCs w:val="0"/>
                <w:color w:val="182030"/>
                <w:sz w:val="21"/>
                <w:szCs w:val="21"/>
              </w:rPr>
              <w:t>FastAPI + Uvicorn</w:t>
            </w:r>
          </w:p>
        </w:tc>
        <w:tc>
          <w:tcPr>
            <w:tcW w:w="2300" w:type="pct"/>
            <w:tcMar>
              <w:top w:w="60" w:type="dxa"/>
              <w:left w:w="100" w:type="dxa"/>
              <w:bottom w:w="60" w:type="dxa"/>
              <w:right w:w="100" w:type="dxa"/>
            </w:tcMar>
            <w:vAlign w:val="center"/>
          </w:tcPr>
          <w:p w14:paraId="4CA1D485">
            <w:pPr>
              <w:spacing w:line="312" w:lineRule="auto"/>
            </w:pPr>
            <w:r>
              <w:rPr>
                <w:rFonts w:ascii="Times New Roman" w:eastAsia="宋体"/>
                <w:b w:val="0"/>
                <w:bCs w:val="0"/>
                <w:color w:val="182030"/>
                <w:sz w:val="21"/>
                <w:szCs w:val="21"/>
              </w:rPr>
              <w:t>异步接口与流式输出</w:t>
            </w:r>
          </w:p>
        </w:tc>
      </w:tr>
      <w:tr w14:paraId="6229695B">
        <w:trPr>
          <w:cantSplit/>
        </w:trPr>
        <w:tc>
          <w:tcPr>
            <w:tcW w:w="1000" w:type="pct"/>
            <w:tcMar>
              <w:top w:w="60" w:type="dxa"/>
              <w:left w:w="100" w:type="dxa"/>
              <w:bottom w:w="60" w:type="dxa"/>
              <w:right w:w="100" w:type="dxa"/>
            </w:tcMar>
            <w:vAlign w:val="center"/>
          </w:tcPr>
          <w:p w14:paraId="147DAEAF">
            <w:pPr>
              <w:spacing w:line="312" w:lineRule="auto"/>
            </w:pPr>
            <w:r>
              <w:rPr>
                <w:rFonts w:ascii="Times New Roman" w:eastAsia="宋体"/>
                <w:b w:val="0"/>
                <w:bCs w:val="0"/>
                <w:color w:val="182030"/>
                <w:sz w:val="21"/>
                <w:szCs w:val="21"/>
              </w:rPr>
              <w:t>智能体框架</w:t>
            </w:r>
          </w:p>
        </w:tc>
        <w:tc>
          <w:tcPr>
            <w:tcW w:w="1700" w:type="pct"/>
            <w:tcMar>
              <w:top w:w="60" w:type="dxa"/>
              <w:left w:w="100" w:type="dxa"/>
              <w:bottom w:w="60" w:type="dxa"/>
              <w:right w:w="100" w:type="dxa"/>
            </w:tcMar>
            <w:vAlign w:val="center"/>
          </w:tcPr>
          <w:p w14:paraId="3EC52A30">
            <w:pPr>
              <w:spacing w:line="312" w:lineRule="auto"/>
            </w:pPr>
            <w:r>
              <w:rPr>
                <w:rFonts w:ascii="Times New Roman" w:eastAsia="宋体"/>
                <w:b w:val="0"/>
                <w:bCs w:val="0"/>
                <w:color w:val="182030"/>
                <w:sz w:val="21"/>
                <w:szCs w:val="21"/>
              </w:rPr>
              <w:t>AgentScope</w:t>
            </w:r>
          </w:p>
        </w:tc>
        <w:tc>
          <w:tcPr>
            <w:tcW w:w="2300" w:type="pct"/>
            <w:tcMar>
              <w:top w:w="60" w:type="dxa"/>
              <w:left w:w="100" w:type="dxa"/>
              <w:bottom w:w="60" w:type="dxa"/>
              <w:right w:w="100" w:type="dxa"/>
            </w:tcMar>
            <w:vAlign w:val="center"/>
          </w:tcPr>
          <w:p w14:paraId="7A7300E0">
            <w:pPr>
              <w:spacing w:line="312" w:lineRule="auto"/>
            </w:pPr>
            <w:r>
              <w:rPr>
                <w:rFonts w:ascii="Times New Roman" w:eastAsia="宋体"/>
                <w:b w:val="0"/>
                <w:bCs w:val="0"/>
                <w:color w:val="182030"/>
                <w:sz w:val="21"/>
                <w:szCs w:val="21"/>
              </w:rPr>
              <w:t>2.0.4.post1，提供 ReAct 智能体与工具抽象</w:t>
            </w:r>
          </w:p>
        </w:tc>
      </w:tr>
      <w:tr w14:paraId="79B4A46F">
        <w:trPr>
          <w:cantSplit/>
        </w:trPr>
        <w:tc>
          <w:tcPr>
            <w:tcW w:w="1000" w:type="pct"/>
            <w:tcMar>
              <w:top w:w="60" w:type="dxa"/>
              <w:left w:w="100" w:type="dxa"/>
              <w:bottom w:w="60" w:type="dxa"/>
              <w:right w:w="100" w:type="dxa"/>
            </w:tcMar>
            <w:vAlign w:val="center"/>
          </w:tcPr>
          <w:p w14:paraId="6609F017">
            <w:pPr>
              <w:spacing w:line="312" w:lineRule="auto"/>
            </w:pPr>
            <w:r>
              <w:rPr>
                <w:rFonts w:ascii="Times New Roman" w:eastAsia="宋体"/>
                <w:b w:val="0"/>
                <w:bCs w:val="0"/>
                <w:color w:val="182030"/>
                <w:sz w:val="21"/>
                <w:szCs w:val="21"/>
              </w:rPr>
              <w:t>数据校验</w:t>
            </w:r>
          </w:p>
        </w:tc>
        <w:tc>
          <w:tcPr>
            <w:tcW w:w="1700" w:type="pct"/>
            <w:tcMar>
              <w:top w:w="60" w:type="dxa"/>
              <w:left w:w="100" w:type="dxa"/>
              <w:bottom w:w="60" w:type="dxa"/>
              <w:right w:w="100" w:type="dxa"/>
            </w:tcMar>
            <w:vAlign w:val="center"/>
          </w:tcPr>
          <w:p w14:paraId="5344E542">
            <w:pPr>
              <w:spacing w:line="312" w:lineRule="auto"/>
            </w:pPr>
            <w:r>
              <w:rPr>
                <w:rFonts w:ascii="Times New Roman" w:eastAsia="宋体"/>
                <w:b w:val="0"/>
                <w:bCs w:val="0"/>
                <w:color w:val="182030"/>
                <w:sz w:val="21"/>
                <w:szCs w:val="21"/>
              </w:rPr>
              <w:t>Pydantic</w:t>
            </w:r>
          </w:p>
        </w:tc>
        <w:tc>
          <w:tcPr>
            <w:tcW w:w="2300" w:type="pct"/>
            <w:tcMar>
              <w:top w:w="60" w:type="dxa"/>
              <w:left w:w="100" w:type="dxa"/>
              <w:bottom w:w="60" w:type="dxa"/>
              <w:right w:w="100" w:type="dxa"/>
            </w:tcMar>
            <w:vAlign w:val="center"/>
          </w:tcPr>
          <w:p w14:paraId="06C56E7A">
            <w:pPr>
              <w:spacing w:line="312" w:lineRule="auto"/>
            </w:pPr>
            <w:r>
              <w:rPr>
                <w:rFonts w:ascii="Times New Roman" w:eastAsia="宋体"/>
                <w:b w:val="0"/>
                <w:bCs w:val="0"/>
                <w:color w:val="182030"/>
                <w:sz w:val="21"/>
                <w:szCs w:val="21"/>
              </w:rPr>
              <w:t>2.x，全链路请求与状态模型</w:t>
            </w:r>
          </w:p>
        </w:tc>
      </w:tr>
      <w:tr w14:paraId="3B79F41C">
        <w:trPr>
          <w:cantSplit/>
        </w:trPr>
        <w:tc>
          <w:tcPr>
            <w:tcW w:w="1000" w:type="pct"/>
            <w:tcMar>
              <w:top w:w="60" w:type="dxa"/>
              <w:left w:w="100" w:type="dxa"/>
              <w:bottom w:w="60" w:type="dxa"/>
              <w:right w:w="100" w:type="dxa"/>
            </w:tcMar>
            <w:vAlign w:val="center"/>
          </w:tcPr>
          <w:p w14:paraId="4648A247">
            <w:pPr>
              <w:spacing w:line="312" w:lineRule="auto"/>
            </w:pPr>
            <w:r>
              <w:rPr>
                <w:rFonts w:ascii="Times New Roman" w:eastAsia="宋体"/>
                <w:b w:val="0"/>
                <w:bCs w:val="0"/>
                <w:color w:val="182030"/>
                <w:sz w:val="21"/>
                <w:szCs w:val="21"/>
              </w:rPr>
              <w:t>关系数据库</w:t>
            </w:r>
          </w:p>
        </w:tc>
        <w:tc>
          <w:tcPr>
            <w:tcW w:w="1700" w:type="pct"/>
            <w:tcMar>
              <w:top w:w="60" w:type="dxa"/>
              <w:left w:w="100" w:type="dxa"/>
              <w:bottom w:w="60" w:type="dxa"/>
              <w:right w:w="100" w:type="dxa"/>
            </w:tcMar>
            <w:vAlign w:val="center"/>
          </w:tcPr>
          <w:p w14:paraId="351B4178">
            <w:pPr>
              <w:spacing w:line="312" w:lineRule="auto"/>
            </w:pPr>
            <w:r>
              <w:rPr>
                <w:rFonts w:ascii="Times New Roman" w:eastAsia="宋体"/>
                <w:b w:val="0"/>
                <w:bCs w:val="0"/>
                <w:color w:val="182030"/>
                <w:sz w:val="21"/>
                <w:szCs w:val="21"/>
              </w:rPr>
              <w:t>PostgreSQL</w:t>
            </w:r>
          </w:p>
        </w:tc>
        <w:tc>
          <w:tcPr>
            <w:tcW w:w="2300" w:type="pct"/>
            <w:tcMar>
              <w:top w:w="60" w:type="dxa"/>
              <w:left w:w="100" w:type="dxa"/>
              <w:bottom w:w="60" w:type="dxa"/>
              <w:right w:w="100" w:type="dxa"/>
            </w:tcMar>
            <w:vAlign w:val="center"/>
          </w:tcPr>
          <w:p w14:paraId="51B94966">
            <w:pPr>
              <w:spacing w:line="312" w:lineRule="auto"/>
            </w:pPr>
            <w:r>
              <w:rPr>
                <w:rFonts w:ascii="Times New Roman" w:eastAsia="宋体"/>
                <w:b w:val="0"/>
                <w:bCs w:val="0"/>
                <w:color w:val="182030"/>
                <w:sz w:val="21"/>
                <w:szCs w:val="21"/>
              </w:rPr>
              <w:t>17，承载知识数据、平台数据（轨迹/审计/用量）与各账号分析库</w:t>
            </w:r>
          </w:p>
        </w:tc>
      </w:tr>
      <w:tr w14:paraId="3338EC24">
        <w:trPr>
          <w:cantSplit/>
        </w:trPr>
        <w:tc>
          <w:tcPr>
            <w:tcW w:w="1000" w:type="pct"/>
            <w:tcMar>
              <w:top w:w="60" w:type="dxa"/>
              <w:left w:w="100" w:type="dxa"/>
              <w:bottom w:w="60" w:type="dxa"/>
              <w:right w:w="100" w:type="dxa"/>
            </w:tcMar>
            <w:vAlign w:val="center"/>
          </w:tcPr>
          <w:p w14:paraId="47B4B3ED">
            <w:pPr>
              <w:spacing w:line="312" w:lineRule="auto"/>
            </w:pPr>
            <w:r>
              <w:rPr>
                <w:rFonts w:ascii="Times New Roman" w:eastAsia="宋体"/>
                <w:b w:val="0"/>
                <w:bCs w:val="0"/>
                <w:color w:val="182030"/>
                <w:sz w:val="21"/>
                <w:szCs w:val="21"/>
              </w:rPr>
              <w:t>向量检索</w:t>
            </w:r>
          </w:p>
        </w:tc>
        <w:tc>
          <w:tcPr>
            <w:tcW w:w="1700" w:type="pct"/>
            <w:tcMar>
              <w:top w:w="60" w:type="dxa"/>
              <w:left w:w="100" w:type="dxa"/>
              <w:bottom w:w="60" w:type="dxa"/>
              <w:right w:w="100" w:type="dxa"/>
            </w:tcMar>
            <w:vAlign w:val="center"/>
          </w:tcPr>
          <w:p w14:paraId="719E5889">
            <w:pPr>
              <w:spacing w:line="312" w:lineRule="auto"/>
            </w:pPr>
            <w:r>
              <w:rPr>
                <w:rFonts w:ascii="Times New Roman" w:eastAsia="宋体"/>
                <w:b w:val="0"/>
                <w:bCs w:val="0"/>
                <w:color w:val="182030"/>
                <w:sz w:val="21"/>
                <w:szCs w:val="21"/>
              </w:rPr>
              <w:t>pgvector</w:t>
            </w:r>
          </w:p>
        </w:tc>
        <w:tc>
          <w:tcPr>
            <w:tcW w:w="2300" w:type="pct"/>
            <w:tcMar>
              <w:top w:w="60" w:type="dxa"/>
              <w:left w:w="100" w:type="dxa"/>
              <w:bottom w:w="60" w:type="dxa"/>
              <w:right w:w="100" w:type="dxa"/>
            </w:tcMar>
            <w:vAlign w:val="center"/>
          </w:tcPr>
          <w:p w14:paraId="37197DCA">
            <w:pPr>
              <w:spacing w:line="312" w:lineRule="auto"/>
            </w:pPr>
            <w:r>
              <w:rPr>
                <w:rFonts w:ascii="Times New Roman" w:eastAsia="宋体"/>
                <w:b w:val="0"/>
                <w:bCs w:val="0"/>
                <w:color w:val="182030"/>
                <w:sz w:val="21"/>
                <w:szCs w:val="21"/>
              </w:rPr>
              <w:t>向量列 + HNSW 索引，数据库内近邻检索</w:t>
            </w:r>
          </w:p>
        </w:tc>
      </w:tr>
      <w:tr w14:paraId="4F163816">
        <w:trPr>
          <w:cantSplit/>
        </w:trPr>
        <w:tc>
          <w:tcPr>
            <w:tcW w:w="1000" w:type="pct"/>
            <w:tcMar>
              <w:top w:w="60" w:type="dxa"/>
              <w:left w:w="100" w:type="dxa"/>
              <w:bottom w:w="60" w:type="dxa"/>
              <w:right w:w="100" w:type="dxa"/>
            </w:tcMar>
            <w:vAlign w:val="center"/>
          </w:tcPr>
          <w:p w14:paraId="70948FE9">
            <w:pPr>
              <w:spacing w:line="312" w:lineRule="auto"/>
            </w:pPr>
            <w:r>
              <w:rPr>
                <w:rFonts w:ascii="Times New Roman" w:eastAsia="宋体"/>
                <w:b w:val="0"/>
                <w:bCs w:val="0"/>
                <w:color w:val="182030"/>
                <w:sz w:val="21"/>
                <w:szCs w:val="21"/>
              </w:rPr>
              <w:t>数据库驱动</w:t>
            </w:r>
          </w:p>
        </w:tc>
        <w:tc>
          <w:tcPr>
            <w:tcW w:w="1700" w:type="pct"/>
            <w:tcMar>
              <w:top w:w="60" w:type="dxa"/>
              <w:left w:w="100" w:type="dxa"/>
              <w:bottom w:w="60" w:type="dxa"/>
              <w:right w:w="100" w:type="dxa"/>
            </w:tcMar>
            <w:vAlign w:val="center"/>
          </w:tcPr>
          <w:p w14:paraId="381593B2">
            <w:pPr>
              <w:spacing w:line="312" w:lineRule="auto"/>
            </w:pPr>
            <w:r>
              <w:rPr>
                <w:rFonts w:ascii="Times New Roman" w:eastAsia="宋体"/>
                <w:b w:val="0"/>
                <w:bCs w:val="0"/>
                <w:color w:val="182030"/>
                <w:sz w:val="21"/>
                <w:szCs w:val="21"/>
              </w:rPr>
              <w:t>psycopg / psycopg2</w:t>
            </w:r>
          </w:p>
        </w:tc>
        <w:tc>
          <w:tcPr>
            <w:tcW w:w="2300" w:type="pct"/>
            <w:tcMar>
              <w:top w:w="60" w:type="dxa"/>
              <w:left w:w="100" w:type="dxa"/>
              <w:bottom w:w="60" w:type="dxa"/>
              <w:right w:w="100" w:type="dxa"/>
            </w:tcMar>
            <w:vAlign w:val="center"/>
          </w:tcPr>
          <w:p w14:paraId="1DDCF7CF">
            <w:pPr>
              <w:spacing w:line="312" w:lineRule="auto"/>
            </w:pPr>
            <w:r>
              <w:rPr>
                <w:rFonts w:ascii="Times New Roman" w:eastAsia="宋体"/>
                <w:b w:val="0"/>
                <w:bCs w:val="0"/>
                <w:color w:val="182030"/>
                <w:sz w:val="21"/>
                <w:szCs w:val="21"/>
              </w:rPr>
              <w:t>3.x（知识服务）/ psycopg2（主应用）</w:t>
            </w:r>
          </w:p>
        </w:tc>
      </w:tr>
      <w:tr w14:paraId="3E31917A">
        <w:trPr>
          <w:cantSplit/>
        </w:trPr>
        <w:tc>
          <w:tcPr>
            <w:tcW w:w="1000" w:type="pct"/>
            <w:tcMar>
              <w:top w:w="60" w:type="dxa"/>
              <w:left w:w="100" w:type="dxa"/>
              <w:bottom w:w="60" w:type="dxa"/>
              <w:right w:w="100" w:type="dxa"/>
            </w:tcMar>
            <w:vAlign w:val="center"/>
          </w:tcPr>
          <w:p w14:paraId="6D851A02">
            <w:pPr>
              <w:spacing w:line="312" w:lineRule="auto"/>
            </w:pPr>
            <w:r>
              <w:rPr>
                <w:rFonts w:ascii="Times New Roman" w:eastAsia="宋体"/>
                <w:b w:val="0"/>
                <w:bCs w:val="0"/>
                <w:color w:val="182030"/>
                <w:sz w:val="21"/>
                <w:szCs w:val="21"/>
              </w:rPr>
              <w:t>文档解析</w:t>
            </w:r>
          </w:p>
        </w:tc>
        <w:tc>
          <w:tcPr>
            <w:tcW w:w="1700" w:type="pct"/>
            <w:tcMar>
              <w:top w:w="60" w:type="dxa"/>
              <w:left w:w="100" w:type="dxa"/>
              <w:bottom w:w="60" w:type="dxa"/>
              <w:right w:w="100" w:type="dxa"/>
            </w:tcMar>
            <w:vAlign w:val="center"/>
          </w:tcPr>
          <w:p w14:paraId="727F2E3F">
            <w:pPr>
              <w:spacing w:line="312" w:lineRule="auto"/>
            </w:pPr>
            <w:r>
              <w:rPr>
                <w:rFonts w:ascii="Times New Roman" w:eastAsia="宋体"/>
                <w:b w:val="0"/>
                <w:bCs w:val="0"/>
                <w:color w:val="182030"/>
                <w:sz w:val="21"/>
                <w:szCs w:val="21"/>
              </w:rPr>
              <w:t>MinerU</w:t>
            </w:r>
          </w:p>
        </w:tc>
        <w:tc>
          <w:tcPr>
            <w:tcW w:w="2300" w:type="pct"/>
            <w:tcMar>
              <w:top w:w="60" w:type="dxa"/>
              <w:left w:w="100" w:type="dxa"/>
              <w:bottom w:w="60" w:type="dxa"/>
              <w:right w:w="100" w:type="dxa"/>
            </w:tcMar>
            <w:vAlign w:val="center"/>
          </w:tcPr>
          <w:p w14:paraId="6ECE6CFD">
            <w:pPr>
              <w:spacing w:line="312" w:lineRule="auto"/>
            </w:pPr>
            <w:r>
              <w:rPr>
                <w:rFonts w:ascii="Times New Roman" w:eastAsia="宋体"/>
                <w:b w:val="0"/>
                <w:bCs w:val="0"/>
                <w:color w:val="182030"/>
                <w:sz w:val="21"/>
                <w:szCs w:val="21"/>
              </w:rPr>
              <w:t>3.4.5，版面分析与公式表格识别</w:t>
            </w:r>
          </w:p>
        </w:tc>
      </w:tr>
      <w:tr w14:paraId="0E055B3C">
        <w:trPr>
          <w:cantSplit/>
        </w:trPr>
        <w:tc>
          <w:tcPr>
            <w:tcW w:w="1000" w:type="pct"/>
            <w:tcMar>
              <w:top w:w="60" w:type="dxa"/>
              <w:left w:w="100" w:type="dxa"/>
              <w:bottom w:w="60" w:type="dxa"/>
              <w:right w:w="100" w:type="dxa"/>
            </w:tcMar>
            <w:vAlign w:val="center"/>
          </w:tcPr>
          <w:p w14:paraId="7EF604AD">
            <w:pPr>
              <w:spacing w:line="312" w:lineRule="auto"/>
            </w:pPr>
            <w:r>
              <w:rPr>
                <w:rFonts w:ascii="Times New Roman" w:eastAsia="宋体"/>
                <w:b w:val="0"/>
                <w:bCs w:val="0"/>
                <w:color w:val="182030"/>
                <w:sz w:val="21"/>
                <w:szCs w:val="21"/>
              </w:rPr>
              <w:t>知识图谱</w:t>
            </w:r>
          </w:p>
        </w:tc>
        <w:tc>
          <w:tcPr>
            <w:tcW w:w="1700" w:type="pct"/>
            <w:tcMar>
              <w:top w:w="60" w:type="dxa"/>
              <w:left w:w="100" w:type="dxa"/>
              <w:bottom w:w="60" w:type="dxa"/>
              <w:right w:w="100" w:type="dxa"/>
            </w:tcMar>
            <w:vAlign w:val="center"/>
          </w:tcPr>
          <w:p w14:paraId="5BA6FFED">
            <w:pPr>
              <w:spacing w:line="312" w:lineRule="auto"/>
            </w:pPr>
            <w:r>
              <w:rPr>
                <w:rFonts w:ascii="Times New Roman" w:eastAsia="宋体"/>
                <w:b w:val="0"/>
                <w:bCs w:val="0"/>
                <w:color w:val="182030"/>
                <w:sz w:val="21"/>
                <w:szCs w:val="21"/>
              </w:rPr>
              <w:t>LightRAG</w:t>
            </w:r>
          </w:p>
        </w:tc>
        <w:tc>
          <w:tcPr>
            <w:tcW w:w="2300" w:type="pct"/>
            <w:tcMar>
              <w:top w:w="60" w:type="dxa"/>
              <w:left w:w="100" w:type="dxa"/>
              <w:bottom w:w="60" w:type="dxa"/>
              <w:right w:w="100" w:type="dxa"/>
            </w:tcMar>
            <w:vAlign w:val="center"/>
          </w:tcPr>
          <w:p w14:paraId="0EB2BA5B">
            <w:pPr>
              <w:spacing w:line="312" w:lineRule="auto"/>
            </w:pPr>
            <w:r>
              <w:rPr>
                <w:rFonts w:ascii="Times New Roman" w:eastAsia="宋体"/>
                <w:b w:val="0"/>
                <w:bCs w:val="0"/>
                <w:color w:val="182030"/>
                <w:sz w:val="21"/>
                <w:szCs w:val="21"/>
              </w:rPr>
              <w:t>1.5.6，实体关系图谱检索，支持按案件划分工作区</w:t>
            </w:r>
          </w:p>
        </w:tc>
      </w:tr>
      <w:tr w14:paraId="1636ABC8">
        <w:trPr>
          <w:cantSplit/>
        </w:trPr>
        <w:tc>
          <w:tcPr>
            <w:tcW w:w="1000" w:type="pct"/>
            <w:tcMar>
              <w:top w:w="60" w:type="dxa"/>
              <w:left w:w="100" w:type="dxa"/>
              <w:bottom w:w="60" w:type="dxa"/>
              <w:right w:w="100" w:type="dxa"/>
            </w:tcMar>
            <w:vAlign w:val="center"/>
          </w:tcPr>
          <w:p w14:paraId="610ADA12">
            <w:pPr>
              <w:spacing w:line="312" w:lineRule="auto"/>
            </w:pPr>
            <w:r>
              <w:rPr>
                <w:rFonts w:ascii="Times New Roman" w:eastAsia="宋体"/>
                <w:b w:val="0"/>
                <w:bCs w:val="0"/>
                <w:color w:val="182030"/>
                <w:sz w:val="21"/>
                <w:szCs w:val="21"/>
              </w:rPr>
              <w:t>前端</w:t>
            </w:r>
          </w:p>
        </w:tc>
        <w:tc>
          <w:tcPr>
            <w:tcW w:w="1700" w:type="pct"/>
            <w:tcMar>
              <w:top w:w="60" w:type="dxa"/>
              <w:left w:w="100" w:type="dxa"/>
              <w:bottom w:w="60" w:type="dxa"/>
              <w:right w:w="100" w:type="dxa"/>
            </w:tcMar>
            <w:vAlign w:val="center"/>
          </w:tcPr>
          <w:p w14:paraId="60951F29">
            <w:pPr>
              <w:spacing w:line="312" w:lineRule="auto"/>
            </w:pPr>
            <w:r>
              <w:rPr>
                <w:rFonts w:ascii="Times New Roman" w:eastAsia="宋体"/>
                <w:b w:val="0"/>
                <w:bCs w:val="0"/>
                <w:color w:val="182030"/>
                <w:sz w:val="21"/>
                <w:szCs w:val="21"/>
              </w:rPr>
              <w:t>React + Ant Design + Vite</w:t>
            </w:r>
          </w:p>
        </w:tc>
        <w:tc>
          <w:tcPr>
            <w:tcW w:w="2300" w:type="pct"/>
            <w:tcMar>
              <w:top w:w="60" w:type="dxa"/>
              <w:left w:w="100" w:type="dxa"/>
              <w:bottom w:w="60" w:type="dxa"/>
              <w:right w:w="100" w:type="dxa"/>
            </w:tcMar>
            <w:vAlign w:val="center"/>
          </w:tcPr>
          <w:p w14:paraId="7150D38B">
            <w:pPr>
              <w:spacing w:line="312" w:lineRule="auto"/>
            </w:pPr>
            <w:r>
              <w:rPr>
                <w:rFonts w:ascii="Times New Roman" w:eastAsia="宋体"/>
                <w:b w:val="0"/>
                <w:bCs w:val="0"/>
                <w:color w:val="182030"/>
                <w:sz w:val="21"/>
                <w:szCs w:val="21"/>
              </w:rPr>
              <w:t>React 18 / AntD 5 / Vite 6</w:t>
            </w:r>
          </w:p>
        </w:tc>
      </w:tr>
      <w:tr w14:paraId="5E4C560A">
        <w:trPr>
          <w:cantSplit/>
        </w:trPr>
        <w:tc>
          <w:tcPr>
            <w:tcW w:w="1000" w:type="pct"/>
            <w:tcMar>
              <w:top w:w="60" w:type="dxa"/>
              <w:left w:w="100" w:type="dxa"/>
              <w:bottom w:w="60" w:type="dxa"/>
              <w:right w:w="100" w:type="dxa"/>
            </w:tcMar>
            <w:vAlign w:val="center"/>
          </w:tcPr>
          <w:p w14:paraId="4C9DEC33">
            <w:pPr>
              <w:spacing w:line="312" w:lineRule="auto"/>
            </w:pPr>
            <w:r>
              <w:rPr>
                <w:rFonts w:ascii="Times New Roman" w:eastAsia="宋体"/>
                <w:b w:val="0"/>
                <w:bCs w:val="0"/>
                <w:color w:val="182030"/>
                <w:sz w:val="21"/>
                <w:szCs w:val="21"/>
              </w:rPr>
              <w:t>会话渲染</w:t>
            </w:r>
          </w:p>
        </w:tc>
        <w:tc>
          <w:tcPr>
            <w:tcW w:w="1700" w:type="pct"/>
            <w:tcMar>
              <w:top w:w="60" w:type="dxa"/>
              <w:left w:w="100" w:type="dxa"/>
              <w:bottom w:w="60" w:type="dxa"/>
              <w:right w:w="100" w:type="dxa"/>
            </w:tcMar>
            <w:vAlign w:val="center"/>
          </w:tcPr>
          <w:p w14:paraId="383F5DCE">
            <w:pPr>
              <w:spacing w:line="312" w:lineRule="auto"/>
            </w:pPr>
            <w:r>
              <w:rPr>
                <w:rFonts w:ascii="Times New Roman" w:eastAsia="宋体"/>
                <w:b w:val="0"/>
                <w:bCs w:val="0"/>
                <w:color w:val="182030"/>
                <w:sz w:val="21"/>
                <w:szCs w:val="21"/>
              </w:rPr>
              <w:t>AgentScope Chat SDK</w:t>
            </w:r>
          </w:p>
        </w:tc>
        <w:tc>
          <w:tcPr>
            <w:tcW w:w="2300" w:type="pct"/>
            <w:tcMar>
              <w:top w:w="60" w:type="dxa"/>
              <w:left w:w="100" w:type="dxa"/>
              <w:bottom w:w="60" w:type="dxa"/>
              <w:right w:w="100" w:type="dxa"/>
            </w:tcMar>
            <w:vAlign w:val="center"/>
          </w:tcPr>
          <w:p w14:paraId="17D10864">
            <w:pPr>
              <w:spacing w:line="312" w:lineRule="auto"/>
            </w:pPr>
            <w:r>
              <w:rPr>
                <w:rFonts w:ascii="Times New Roman" w:eastAsia="宋体"/>
                <w:b w:val="0"/>
                <w:bCs w:val="0"/>
                <w:color w:val="182030"/>
                <w:sz w:val="21"/>
                <w:szCs w:val="21"/>
              </w:rPr>
              <w:t>流式对话与卡片式工具渲染</w:t>
            </w:r>
          </w:p>
        </w:tc>
      </w:tr>
    </w:tbl>
    <w:p w14:paraId="78A948EA">
      <w:pPr>
        <w:spacing w:before="60" w:after="240" w:line="312" w:lineRule="auto"/>
        <w:jc w:val="center"/>
      </w:pPr>
      <w:r>
        <w:rPr>
          <w:rFonts w:ascii="Times New Roman" w:eastAsia="宋体"/>
          <w:color w:val="606060"/>
          <w:sz w:val="21"/>
          <w:szCs w:val="21"/>
        </w:rPr>
        <w:t>表 2-2 核心技术选型</w:t>
      </w:r>
    </w:p>
    <w:p w14:paraId="2B95860E">
      <w:pPr>
        <w:pStyle w:val="3"/>
        <w:spacing w:before="280" w:after="120" w:line="345" w:lineRule="atLeast"/>
      </w:pPr>
      <w:bookmarkStart w:id="7" w:name="_Toc8"/>
      <w:r>
        <w:rPr>
          <w:rFonts w:ascii="Times New Roman" w:eastAsia="黑体"/>
          <w:b/>
          <w:bCs/>
          <w:color w:val="1284BA"/>
          <w:sz w:val="30"/>
          <w:szCs w:val="30"/>
        </w:rPr>
        <w:t>2.3 一次请求的完整链路</w:t>
      </w:r>
      <w:bookmarkEnd w:id="7"/>
    </w:p>
    <w:p w14:paraId="2A926123">
      <w:pPr>
        <w:spacing w:after="60" w:line="312" w:lineRule="auto"/>
        <w:ind w:firstLine="480"/>
        <w:jc w:val="both"/>
      </w:pPr>
      <w:r>
        <w:rPr>
          <w:rFonts w:ascii="Times New Roman" w:eastAsia="宋体"/>
          <w:color w:val="182030"/>
          <w:sz w:val="24"/>
          <w:szCs w:val="24"/>
        </w:rPr>
        <w:t>从民警在对话框输入问题，到页面显示回答，平台内部经过一条确定性的处理链路。这条链路的每一个环节都有对应的模块，便于定位问题与横向扩展：</w:t>
      </w:r>
    </w:p>
    <w:p w14:paraId="055C7534">
      <w:pPr>
        <w:spacing w:after="40" w:line="312" w:lineRule="auto"/>
        <w:ind w:left="480" w:hanging="240"/>
        <w:jc w:val="both"/>
      </w:pPr>
      <w:r>
        <w:rPr>
          <w:rFonts w:ascii="Times New Roman" w:eastAsia="宋体"/>
          <w:color w:val="182030"/>
          <w:sz w:val="24"/>
          <w:szCs w:val="24"/>
        </w:rPr>
        <w:t>· 第一步，请求进入。控制台以流式请求方式把消息发往主应用，鉴权中间件解析令牌得到账号身份，并把该身份注入请求上下文。</w:t>
      </w:r>
    </w:p>
    <w:p w14:paraId="2A33DC9D">
      <w:pPr>
        <w:spacing w:after="40" w:line="312" w:lineRule="auto"/>
        <w:ind w:left="480" w:hanging="240"/>
        <w:jc w:val="both"/>
      </w:pPr>
      <w:r>
        <w:rPr>
          <w:rFonts w:ascii="Times New Roman" w:eastAsia="宋体"/>
          <w:color w:val="182030"/>
          <w:sz w:val="24"/>
          <w:szCs w:val="24"/>
        </w:rPr>
        <w:t>· 第二步，会话归位。系统按会话标识取出该会话的智能体与历史状态，新会话则自动创建并生成初始标题。</w:t>
      </w:r>
    </w:p>
    <w:p w14:paraId="22D0E45C">
      <w:pPr>
        <w:spacing w:after="40" w:line="312" w:lineRule="auto"/>
        <w:ind w:left="480" w:hanging="240"/>
        <w:jc w:val="both"/>
      </w:pPr>
      <w:r>
        <w:rPr>
          <w:rFonts w:ascii="Times New Roman" w:eastAsia="宋体"/>
          <w:color w:val="182030"/>
          <w:sz w:val="24"/>
          <w:szCs w:val="24"/>
        </w:rPr>
        <w:t>· 第三步，运行时编排。运行时按预派发、构建、执行、后置处理等阶段依次推进；构建阶段组装系统提示词、模型、工具集合与上下文管理组件。</w:t>
      </w:r>
    </w:p>
    <w:p w14:paraId="56CB6847">
      <w:pPr>
        <w:spacing w:after="40" w:line="312" w:lineRule="auto"/>
        <w:ind w:left="480" w:hanging="240"/>
        <w:jc w:val="both"/>
      </w:pPr>
      <w:r>
        <w:rPr>
          <w:rFonts w:ascii="Times New Roman" w:eastAsia="宋体"/>
          <w:color w:val="182030"/>
          <w:sz w:val="24"/>
          <w:szCs w:val="24"/>
        </w:rPr>
        <w:t>· 第四步，知识注入。在模型推理前，系统按当前问题自动检索知识空间，把命中的资料片段作为背景信息注入本次推理。</w:t>
      </w:r>
    </w:p>
    <w:p w14:paraId="302E2204">
      <w:pPr>
        <w:spacing w:after="40" w:line="312" w:lineRule="auto"/>
        <w:ind w:left="480" w:hanging="240"/>
        <w:jc w:val="both"/>
      </w:pPr>
      <w:r>
        <w:rPr>
          <w:rFonts w:ascii="Times New Roman" w:eastAsia="宋体"/>
          <w:color w:val="182030"/>
          <w:sz w:val="24"/>
          <w:szCs w:val="24"/>
        </w:rPr>
        <w:t>· 第五步，模型推理与工具调用。模型决定是直接回答还是调用工具；若调用工具，由工具协调器负责执行、超时控制与结果回填，随后模型基于工具结果继续推理，直至得出结论。</w:t>
      </w:r>
    </w:p>
    <w:p w14:paraId="0E27D1BC">
      <w:pPr>
        <w:spacing w:after="40" w:line="312" w:lineRule="auto"/>
        <w:ind w:left="480" w:hanging="240"/>
        <w:jc w:val="both"/>
      </w:pPr>
      <w:r>
        <w:rPr>
          <w:rFonts w:ascii="Times New Roman" w:eastAsia="宋体"/>
          <w:color w:val="182030"/>
          <w:sz w:val="24"/>
          <w:szCs w:val="24"/>
        </w:rPr>
        <w:t>· 第六步，流式回传。推理与工具调用过程中的事件被逐条翻译为前端可识别的消息，通过流式通道实时推送到页面，用户可以看到思考与执行的过程。</w:t>
      </w:r>
    </w:p>
    <w:p w14:paraId="2C55D167">
      <w:pPr>
        <w:spacing w:after="40" w:line="312" w:lineRule="auto"/>
        <w:ind w:left="480" w:hanging="240"/>
        <w:jc w:val="both"/>
      </w:pPr>
      <w:r>
        <w:rPr>
          <w:rFonts w:ascii="Times New Roman" w:eastAsia="宋体"/>
          <w:color w:val="182030"/>
          <w:sz w:val="24"/>
          <w:szCs w:val="24"/>
        </w:rPr>
        <w:t>· 第七步，状态留存。会话状态、完整对话轨迹与用量统计被分别持久化到 PostgreSQL，供刷新、重连与审计使用。</w:t>
      </w:r>
    </w:p>
    <w:p w14:paraId="3133BDEF">
      <w:pPr>
        <w:spacing w:after="60" w:line="312" w:lineRule="auto"/>
        <w:ind w:firstLine="480"/>
        <w:jc w:val="both"/>
      </w:pPr>
      <w:r>
        <w:rPr>
          <w:rFonts w:ascii="Times New Roman" w:eastAsia="宋体"/>
          <w:color w:val="182030"/>
          <w:sz w:val="24"/>
          <w:szCs w:val="24"/>
        </w:rPr>
        <w:t>这条链路的关键设计在于：模型只负责决策与表达，所有涉及数据读取和文件操作的动作都通过受控工具执行。因此可以在工具层统一施加权限、路径与只读约束，而不必依赖模型自身的自觉。</w:t>
      </w:r>
    </w:p>
    <w:p w14:paraId="396E7A65">
      <w:pPr>
        <w:pStyle w:val="2"/>
        <w:pageBreakBefore/>
        <w:spacing w:before="360" w:after="160" w:line="368" w:lineRule="atLeast"/>
      </w:pPr>
      <w:bookmarkStart w:id="8" w:name="_Toc9"/>
      <w:r>
        <w:rPr>
          <w:rFonts w:ascii="Times New Roman" w:eastAsia="黑体"/>
          <w:b/>
          <w:bCs/>
          <w:color w:val="1284BA"/>
          <w:sz w:val="32"/>
          <w:szCs w:val="32"/>
        </w:rPr>
        <w:t>三、底层技术实现</w:t>
      </w:r>
      <w:bookmarkEnd w:id="8"/>
    </w:p>
    <w:p w14:paraId="709E7BA8">
      <w:pPr>
        <w:pStyle w:val="3"/>
        <w:spacing w:before="280" w:after="120" w:line="345" w:lineRule="atLeast"/>
      </w:pPr>
      <w:bookmarkStart w:id="9" w:name="_Toc10"/>
      <w:r>
        <w:rPr>
          <w:rFonts w:ascii="Times New Roman" w:eastAsia="黑体"/>
          <w:b/>
          <w:bCs/>
          <w:color w:val="1284BA"/>
          <w:sz w:val="30"/>
          <w:szCs w:val="30"/>
        </w:rPr>
        <w:t>3.1 智能体运行时</w:t>
      </w:r>
      <w:bookmarkEnd w:id="9"/>
    </w:p>
    <w:p w14:paraId="363E74D5">
      <w:pPr>
        <w:spacing w:after="60" w:line="312" w:lineRule="auto"/>
        <w:ind w:firstLine="480"/>
        <w:jc w:val="both"/>
      </w:pPr>
      <w:r>
        <w:rPr>
          <w:rFonts w:ascii="Times New Roman" w:eastAsia="宋体"/>
          <w:color w:val="182030"/>
          <w:sz w:val="24"/>
          <w:szCs w:val="24"/>
        </w:rPr>
        <w:t>运行时是平台的调度中枢，把一次请求拆解为可控的阶段序列，并在每个阶段对外开放扩展点。其设计要点有三：</w:t>
      </w:r>
    </w:p>
    <w:p w14:paraId="4E0F70E0">
      <w:pPr>
        <w:spacing w:after="40" w:line="312" w:lineRule="auto"/>
        <w:ind w:left="480" w:hanging="240"/>
        <w:jc w:val="both"/>
      </w:pPr>
      <w:r>
        <w:rPr>
          <w:rFonts w:ascii="Times New Roman" w:eastAsia="宋体"/>
          <w:color w:val="182030"/>
          <w:sz w:val="24"/>
          <w:szCs w:val="24"/>
        </w:rPr>
        <w:t>· 阶段化编排。请求被划分为预派发、智能体构建、执行、响应后置等阶段，生命周期钩子可在指定阶段介入。账号身份注入、会话加载、状态保存等功能均以钩子形式实现，避免核心流程被业务细节污染。</w:t>
      </w:r>
    </w:p>
    <w:p w14:paraId="38555249">
      <w:pPr>
        <w:spacing w:after="40" w:line="312" w:lineRule="auto"/>
        <w:ind w:left="480" w:hanging="240"/>
        <w:jc w:val="both"/>
      </w:pPr>
      <w:r>
        <w:rPr>
          <w:rFonts w:ascii="Times New Roman" w:eastAsia="宋体"/>
          <w:color w:val="182030"/>
          <w:sz w:val="24"/>
          <w:szCs w:val="24"/>
        </w:rPr>
        <w:t>· 构建与执行分离。构建阶段产出一个配置完整的智能体实例，执行阶段只负责驱动它运行。两者的分离使得同一个智能体可以被不同入口复用，也让构建结果易于缓存与诊断。</w:t>
      </w:r>
    </w:p>
    <w:p w14:paraId="7740F4D2">
      <w:pPr>
        <w:spacing w:after="40" w:line="312" w:lineRule="auto"/>
        <w:ind w:left="480" w:hanging="240"/>
        <w:jc w:val="both"/>
      </w:pPr>
      <w:r>
        <w:rPr>
          <w:rFonts w:ascii="Times New Roman" w:eastAsia="宋体"/>
          <w:color w:val="182030"/>
          <w:sz w:val="24"/>
          <w:szCs w:val="24"/>
        </w:rPr>
        <w:t>· 事件驱动输出。智能体运行过程中产生的事件被统一翻译为平台自己的消息格式，前端不需要理解模型框架的内部结构。这种隔离使模型框架升级不会波及前端。</w:t>
      </w:r>
    </w:p>
    <w:p w14:paraId="0185B05A">
      <w:pPr>
        <w:pStyle w:val="3"/>
        <w:spacing w:before="280" w:after="120" w:line="345" w:lineRule="atLeast"/>
      </w:pPr>
      <w:bookmarkStart w:id="10" w:name="_Toc11"/>
      <w:r>
        <w:rPr>
          <w:rFonts w:ascii="Times New Roman" w:eastAsia="黑体"/>
          <w:b/>
          <w:bCs/>
          <w:color w:val="1284BA"/>
          <w:sz w:val="30"/>
          <w:szCs w:val="30"/>
        </w:rPr>
        <w:t>3.2 推理循环与工具协调</w:t>
      </w:r>
      <w:bookmarkEnd w:id="10"/>
    </w:p>
    <w:p w14:paraId="424AE7E1">
      <w:pPr>
        <w:spacing w:after="60" w:line="312" w:lineRule="auto"/>
        <w:ind w:firstLine="480"/>
        <w:jc w:val="both"/>
      </w:pPr>
      <w:r>
        <w:rPr>
          <w:rFonts w:ascii="Times New Roman" w:eastAsia="宋体"/>
          <w:color w:val="182030"/>
          <w:sz w:val="24"/>
          <w:szCs w:val="24"/>
        </w:rPr>
        <w:t>智能体采用推理与行动交替的循环结构。每一轮循环中，系统先注入知识背景与待处理提示，再把当前上下文和可用工具清单提交给模型；模型若要求调用工具，则由工具协调器实际执行，并把执行结果作为新的输入交回模型，直到模型给出最终回答或达到迭代上限。</w:t>
      </w:r>
    </w:p>
    <w:p w14:paraId="1CB02FC4">
      <w:pPr>
        <w:spacing w:after="60" w:line="312" w:lineRule="auto"/>
        <w:ind w:firstLine="480"/>
        <w:jc w:val="both"/>
      </w:pPr>
      <w:r>
        <w:rPr>
          <w:rFonts w:ascii="Times New Roman" w:eastAsia="宋体"/>
          <w:color w:val="182030"/>
          <w:sz w:val="24"/>
          <w:szCs w:val="24"/>
        </w:rPr>
        <w:t>工具协调器统一承担四项职责：一是执行调度，支持同步与后台异步两种执行方式，耗时较长的操作可以转为后台任务，避免阻塞对话；二是超时控制，为每个工具配置独立的执行上限，并对长时间未完成的任务按比例设置卸载窗口；三是结果管理，工具输出有明确的大小限制，超限内容转为可追溯的引用而非直接塞入上下文；四是异常兜底，工具执行失败不会中断整轮对话，模型会收到失败信息并据此调整策略。</w:t>
      </w:r>
    </w:p>
    <w:p w14:paraId="76E893F0">
      <w:pPr>
        <w:pStyle w:val="3"/>
        <w:spacing w:before="280" w:after="120" w:line="345" w:lineRule="atLeast"/>
      </w:pPr>
      <w:bookmarkStart w:id="11" w:name="_Toc12"/>
      <w:r>
        <w:rPr>
          <w:rFonts w:ascii="Times New Roman" w:eastAsia="黑体"/>
          <w:b/>
          <w:bCs/>
          <w:color w:val="1284BA"/>
          <w:sz w:val="30"/>
          <w:szCs w:val="30"/>
        </w:rPr>
        <w:t>3.3 上下文管理机制</w:t>
      </w:r>
      <w:bookmarkEnd w:id="11"/>
    </w:p>
    <w:p w14:paraId="37E17C01">
      <w:pPr>
        <w:spacing w:after="60" w:line="312" w:lineRule="auto"/>
        <w:ind w:firstLine="480"/>
        <w:jc w:val="both"/>
      </w:pPr>
      <w:r>
        <w:rPr>
          <w:rFonts w:ascii="Times New Roman" w:eastAsia="宋体"/>
          <w:color w:val="182030"/>
          <w:sz w:val="24"/>
          <w:szCs w:val="24"/>
        </w:rPr>
        <w:t>大模型的上下文窗口是有限的，而实际办案对话往往持续多轮、包含大量工具调用结果。平台采用滚动压缩策略解决这一矛盾，其核心思路是：完整历史永久保存，活跃上下文按需精简。</w:t>
      </w:r>
    </w:p>
    <w:p w14:paraId="1559494A">
      <w:pPr>
        <w:spacing w:after="60" w:line="312" w:lineRule="auto"/>
        <w:ind w:firstLine="480"/>
        <w:jc w:val="both"/>
      </w:pPr>
      <w:r>
        <w:rPr>
          <w:rFonts w:ascii="Times New Roman" w:eastAsia="宋体"/>
          <w:color w:val="182030"/>
          <w:sz w:val="24"/>
          <w:szCs w:val="24"/>
        </w:rPr>
        <w:t>具体而言，系统在</w:t>
      </w:r>
      <w:r>
        <w:rPr>
          <w:rFonts w:hint="eastAsia"/>
          <w:color w:val="182030"/>
          <w:sz w:val="24"/>
          <w:szCs w:val="24"/>
          <w:lang w:val="en-US" w:eastAsia="zh-CN"/>
        </w:rPr>
        <w:t>数据库</w:t>
      </w:r>
      <w:r>
        <w:rPr>
          <w:rFonts w:ascii="Times New Roman" w:eastAsia="宋体"/>
          <w:color w:val="182030"/>
          <w:sz w:val="24"/>
          <w:szCs w:val="24"/>
        </w:rPr>
        <w:t>中维护一份完整的对话轨迹库，逐条记录每个轮次的用户输入、模型输出、工具调用与结果。当活跃上下文接近模型窗口上限时，系统按语义优先级逐步压缩：先压缩较早且已完成的工具结果，把冗长的原始输出替换为可回溯的引用指针；仍不足时，再把中间轮次折叠为分层索引，仅保留最近一段原文以及当前正在处理的一轮。被压缩的内容不会丢失，模型在需要时可以通过历史回溯工具按索引重新取回原文。</w:t>
      </w:r>
    </w:p>
    <w:p w14:paraId="525F9AE9">
      <w:pPr>
        <w:spacing w:after="60" w:line="312" w:lineRule="auto"/>
        <w:ind w:firstLine="480"/>
        <w:jc w:val="both"/>
      </w:pPr>
      <w:r>
        <w:rPr>
          <w:rFonts w:ascii="Times New Roman" w:eastAsia="宋体"/>
          <w:color w:val="182030"/>
          <w:sz w:val="24"/>
          <w:szCs w:val="24"/>
        </w:rPr>
        <w:t>这一机制带来两个直接好处：一是对话可以无限延续而不受窗口限制；二是刷新页面或重新打开历史会话时，能够从持久化轨迹中还原完整对话，而不只是窗口内的片段。</w:t>
      </w:r>
    </w:p>
    <w:p w14:paraId="4A536631">
      <w:pPr>
        <w:pStyle w:val="3"/>
        <w:spacing w:before="280" w:after="120" w:line="345" w:lineRule="atLeast"/>
      </w:pPr>
      <w:bookmarkStart w:id="12" w:name="_Toc13"/>
      <w:r>
        <w:rPr>
          <w:rFonts w:ascii="Times New Roman" w:eastAsia="黑体"/>
          <w:b/>
          <w:bCs/>
          <w:color w:val="1284BA"/>
          <w:sz w:val="30"/>
          <w:szCs w:val="30"/>
        </w:rPr>
        <w:t>3.4 流式输出与可靠性</w:t>
      </w:r>
      <w:bookmarkEnd w:id="12"/>
    </w:p>
    <w:p w14:paraId="1B134406">
      <w:pPr>
        <w:spacing w:after="60" w:line="312" w:lineRule="auto"/>
        <w:ind w:firstLine="480"/>
        <w:jc w:val="both"/>
      </w:pPr>
      <w:r>
        <w:rPr>
          <w:rFonts w:ascii="Times New Roman" w:eastAsia="宋体"/>
          <w:color w:val="182030"/>
          <w:sz w:val="24"/>
          <w:szCs w:val="24"/>
        </w:rPr>
        <w:t>模型推理与工具执行耗时较长，若采用一次性返回，页面会长时间空白且容易被网络中断打断。平台采用流式输出并叠加多重可靠性措施：</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2337"/>
        <w:gridCol w:w="2696"/>
        <w:gridCol w:w="3955"/>
      </w:tblGrid>
      <w:tr w14:paraId="1E257B26">
        <w:trPr>
          <w:cantSplit/>
          <w:tblHeader/>
        </w:trPr>
        <w:tc>
          <w:tcPr>
            <w:tcW w:w="1300" w:type="pct"/>
            <w:shd w:val="clear" w:color="auto" w:fill="1284BA"/>
            <w:tcMar>
              <w:top w:w="60" w:type="dxa"/>
              <w:left w:w="100" w:type="dxa"/>
              <w:bottom w:w="60" w:type="dxa"/>
              <w:right w:w="100" w:type="dxa"/>
            </w:tcMar>
            <w:vAlign w:val="center"/>
          </w:tcPr>
          <w:p w14:paraId="7439D230">
            <w:pPr>
              <w:spacing w:line="312" w:lineRule="auto"/>
            </w:pPr>
            <w:r>
              <w:rPr>
                <w:rFonts w:ascii="Times New Roman" w:eastAsia="宋体"/>
                <w:b/>
                <w:bCs/>
                <w:color w:val="FFFFFF"/>
                <w:sz w:val="21"/>
                <w:szCs w:val="21"/>
              </w:rPr>
              <w:t>机制</w:t>
            </w:r>
          </w:p>
        </w:tc>
        <w:tc>
          <w:tcPr>
            <w:tcW w:w="1500" w:type="pct"/>
            <w:shd w:val="clear" w:color="auto" w:fill="1284BA"/>
            <w:tcMar>
              <w:top w:w="60" w:type="dxa"/>
              <w:left w:w="100" w:type="dxa"/>
              <w:bottom w:w="60" w:type="dxa"/>
              <w:right w:w="100" w:type="dxa"/>
            </w:tcMar>
            <w:vAlign w:val="center"/>
          </w:tcPr>
          <w:p w14:paraId="4F10DE59">
            <w:pPr>
              <w:spacing w:line="312" w:lineRule="auto"/>
            </w:pPr>
            <w:r>
              <w:rPr>
                <w:rFonts w:ascii="Times New Roman" w:eastAsia="宋体"/>
                <w:b/>
                <w:bCs/>
                <w:color w:val="FFFFFF"/>
                <w:sz w:val="21"/>
                <w:szCs w:val="21"/>
              </w:rPr>
              <w:t>参数/策略</w:t>
            </w:r>
          </w:p>
        </w:tc>
        <w:tc>
          <w:tcPr>
            <w:tcW w:w="2200" w:type="pct"/>
            <w:shd w:val="clear" w:color="auto" w:fill="1284BA"/>
            <w:tcMar>
              <w:top w:w="60" w:type="dxa"/>
              <w:left w:w="100" w:type="dxa"/>
              <w:bottom w:w="60" w:type="dxa"/>
              <w:right w:w="100" w:type="dxa"/>
            </w:tcMar>
            <w:vAlign w:val="center"/>
          </w:tcPr>
          <w:p w14:paraId="3D6E2DEA">
            <w:pPr>
              <w:spacing w:line="312" w:lineRule="auto"/>
            </w:pPr>
            <w:r>
              <w:rPr>
                <w:rFonts w:ascii="Times New Roman" w:eastAsia="宋体"/>
                <w:b/>
                <w:bCs/>
                <w:color w:val="FFFFFF"/>
                <w:sz w:val="21"/>
                <w:szCs w:val="21"/>
              </w:rPr>
              <w:t>作用</w:t>
            </w:r>
          </w:p>
        </w:tc>
      </w:tr>
      <w:tr w14:paraId="69D9BE43">
        <w:trPr>
          <w:cantSplit/>
        </w:trPr>
        <w:tc>
          <w:tcPr>
            <w:tcW w:w="1300" w:type="pct"/>
            <w:tcMar>
              <w:top w:w="60" w:type="dxa"/>
              <w:left w:w="100" w:type="dxa"/>
              <w:bottom w:w="60" w:type="dxa"/>
              <w:right w:w="100" w:type="dxa"/>
            </w:tcMar>
            <w:vAlign w:val="center"/>
          </w:tcPr>
          <w:p w14:paraId="24B49D78">
            <w:pPr>
              <w:spacing w:line="312" w:lineRule="auto"/>
            </w:pPr>
            <w:r>
              <w:rPr>
                <w:rFonts w:ascii="Times New Roman" w:eastAsia="宋体"/>
                <w:b w:val="0"/>
                <w:bCs w:val="0"/>
                <w:color w:val="182030"/>
                <w:sz w:val="21"/>
                <w:szCs w:val="21"/>
              </w:rPr>
              <w:t>传输层心跳</w:t>
            </w:r>
          </w:p>
        </w:tc>
        <w:tc>
          <w:tcPr>
            <w:tcW w:w="1500" w:type="pct"/>
            <w:tcMar>
              <w:top w:w="60" w:type="dxa"/>
              <w:left w:w="100" w:type="dxa"/>
              <w:bottom w:w="60" w:type="dxa"/>
              <w:right w:w="100" w:type="dxa"/>
            </w:tcMar>
            <w:vAlign w:val="center"/>
          </w:tcPr>
          <w:p w14:paraId="5041B4D9">
            <w:pPr>
              <w:spacing w:line="312" w:lineRule="auto"/>
            </w:pPr>
            <w:r>
              <w:rPr>
                <w:rFonts w:ascii="Times New Roman" w:eastAsia="宋体"/>
                <w:b w:val="0"/>
                <w:bCs w:val="0"/>
                <w:color w:val="182030"/>
                <w:sz w:val="21"/>
                <w:szCs w:val="21"/>
              </w:rPr>
              <w:t>空闲 10 秒发送一次</w:t>
            </w:r>
          </w:p>
        </w:tc>
        <w:tc>
          <w:tcPr>
            <w:tcW w:w="2200" w:type="pct"/>
            <w:tcMar>
              <w:top w:w="60" w:type="dxa"/>
              <w:left w:w="100" w:type="dxa"/>
              <w:bottom w:w="60" w:type="dxa"/>
              <w:right w:w="100" w:type="dxa"/>
            </w:tcMar>
            <w:vAlign w:val="center"/>
          </w:tcPr>
          <w:p w14:paraId="4438C175">
            <w:pPr>
              <w:spacing w:line="312" w:lineRule="auto"/>
            </w:pPr>
            <w:r>
              <w:rPr>
                <w:rFonts w:ascii="Times New Roman" w:eastAsia="宋体"/>
                <w:b w:val="0"/>
                <w:bCs w:val="0"/>
                <w:color w:val="182030"/>
                <w:sz w:val="21"/>
                <w:szCs w:val="21"/>
              </w:rPr>
              <w:t>保持连接，避免网关与浏览器判定超时</w:t>
            </w:r>
          </w:p>
        </w:tc>
      </w:tr>
      <w:tr w14:paraId="16B43389">
        <w:trPr>
          <w:cantSplit/>
        </w:trPr>
        <w:tc>
          <w:tcPr>
            <w:tcW w:w="1300" w:type="pct"/>
            <w:tcMar>
              <w:top w:w="60" w:type="dxa"/>
              <w:left w:w="100" w:type="dxa"/>
              <w:bottom w:w="60" w:type="dxa"/>
              <w:right w:w="100" w:type="dxa"/>
            </w:tcMar>
            <w:vAlign w:val="center"/>
          </w:tcPr>
          <w:p w14:paraId="2E90AECD">
            <w:pPr>
              <w:spacing w:line="312" w:lineRule="auto"/>
            </w:pPr>
            <w:r>
              <w:rPr>
                <w:rFonts w:ascii="Times New Roman" w:eastAsia="宋体"/>
                <w:b w:val="0"/>
                <w:bCs w:val="0"/>
                <w:color w:val="182030"/>
                <w:sz w:val="21"/>
                <w:szCs w:val="21"/>
              </w:rPr>
              <w:t>模型层心跳</w:t>
            </w:r>
          </w:p>
        </w:tc>
        <w:tc>
          <w:tcPr>
            <w:tcW w:w="1500" w:type="pct"/>
            <w:tcMar>
              <w:top w:w="60" w:type="dxa"/>
              <w:left w:w="100" w:type="dxa"/>
              <w:bottom w:w="60" w:type="dxa"/>
              <w:right w:w="100" w:type="dxa"/>
            </w:tcMar>
            <w:vAlign w:val="center"/>
          </w:tcPr>
          <w:p w14:paraId="572B7B3A">
            <w:pPr>
              <w:spacing w:line="312" w:lineRule="auto"/>
            </w:pPr>
            <w:r>
              <w:rPr>
                <w:rFonts w:ascii="Times New Roman" w:eastAsia="宋体"/>
                <w:b w:val="0"/>
                <w:bCs w:val="0"/>
                <w:color w:val="182030"/>
                <w:sz w:val="21"/>
                <w:szCs w:val="21"/>
              </w:rPr>
              <w:t>空闲 25 秒发一次信号</w:t>
            </w:r>
          </w:p>
        </w:tc>
        <w:tc>
          <w:tcPr>
            <w:tcW w:w="2200" w:type="pct"/>
            <w:tcMar>
              <w:top w:w="60" w:type="dxa"/>
              <w:left w:w="100" w:type="dxa"/>
              <w:bottom w:w="60" w:type="dxa"/>
              <w:right w:w="100" w:type="dxa"/>
            </w:tcMar>
            <w:vAlign w:val="center"/>
          </w:tcPr>
          <w:p w14:paraId="73C79A2F">
            <w:pPr>
              <w:spacing w:line="312" w:lineRule="auto"/>
            </w:pPr>
            <w:r>
              <w:rPr>
                <w:rFonts w:ascii="Times New Roman" w:eastAsia="宋体"/>
                <w:b w:val="0"/>
                <w:bCs w:val="0"/>
                <w:color w:val="182030"/>
                <w:sz w:val="21"/>
                <w:szCs w:val="21"/>
              </w:rPr>
              <w:t>长工具调用期间维持会话可用</w:t>
            </w:r>
          </w:p>
        </w:tc>
      </w:tr>
      <w:tr w14:paraId="058088B2">
        <w:trPr>
          <w:cantSplit/>
        </w:trPr>
        <w:tc>
          <w:tcPr>
            <w:tcW w:w="1300" w:type="pct"/>
            <w:tcMar>
              <w:top w:w="60" w:type="dxa"/>
              <w:left w:w="100" w:type="dxa"/>
              <w:bottom w:w="60" w:type="dxa"/>
              <w:right w:w="100" w:type="dxa"/>
            </w:tcMar>
            <w:vAlign w:val="center"/>
          </w:tcPr>
          <w:p w14:paraId="458DC317">
            <w:pPr>
              <w:spacing w:line="312" w:lineRule="auto"/>
            </w:pPr>
            <w:r>
              <w:rPr>
                <w:rFonts w:ascii="Times New Roman" w:eastAsia="宋体"/>
                <w:b w:val="0"/>
                <w:bCs w:val="0"/>
                <w:color w:val="182030"/>
                <w:sz w:val="21"/>
                <w:szCs w:val="21"/>
              </w:rPr>
              <w:t>首内容超时</w:t>
            </w:r>
          </w:p>
        </w:tc>
        <w:tc>
          <w:tcPr>
            <w:tcW w:w="1500" w:type="pct"/>
            <w:tcMar>
              <w:top w:w="60" w:type="dxa"/>
              <w:left w:w="100" w:type="dxa"/>
              <w:bottom w:w="60" w:type="dxa"/>
              <w:right w:w="100" w:type="dxa"/>
            </w:tcMar>
            <w:vAlign w:val="center"/>
          </w:tcPr>
          <w:p w14:paraId="5C9404E1">
            <w:pPr>
              <w:spacing w:line="312" w:lineRule="auto"/>
            </w:pPr>
            <w:r>
              <w:rPr>
                <w:rFonts w:ascii="Times New Roman" w:eastAsia="宋体"/>
                <w:b w:val="0"/>
                <w:bCs w:val="0"/>
                <w:color w:val="182030"/>
                <w:sz w:val="21"/>
                <w:szCs w:val="21"/>
              </w:rPr>
              <w:t>默认 300 秒</w:t>
            </w:r>
          </w:p>
        </w:tc>
        <w:tc>
          <w:tcPr>
            <w:tcW w:w="2200" w:type="pct"/>
            <w:tcMar>
              <w:top w:w="60" w:type="dxa"/>
              <w:left w:w="100" w:type="dxa"/>
              <w:bottom w:w="60" w:type="dxa"/>
              <w:right w:w="100" w:type="dxa"/>
            </w:tcMar>
            <w:vAlign w:val="center"/>
          </w:tcPr>
          <w:p w14:paraId="5EDF134D">
            <w:pPr>
              <w:spacing w:line="312" w:lineRule="auto"/>
            </w:pPr>
            <w:r>
              <w:rPr>
                <w:rFonts w:ascii="Times New Roman" w:eastAsia="宋体"/>
                <w:b w:val="0"/>
                <w:bCs w:val="0"/>
                <w:color w:val="182030"/>
                <w:sz w:val="21"/>
                <w:szCs w:val="21"/>
              </w:rPr>
              <w:t>自建模型的提示处理可能耗时数分钟，过短的超时会把「模型慢」误报为「产品故障」</w:t>
            </w:r>
          </w:p>
        </w:tc>
      </w:tr>
      <w:tr w14:paraId="70EEBE2D">
        <w:trPr>
          <w:cantSplit/>
        </w:trPr>
        <w:tc>
          <w:tcPr>
            <w:tcW w:w="1300" w:type="pct"/>
            <w:tcMar>
              <w:top w:w="60" w:type="dxa"/>
              <w:left w:w="100" w:type="dxa"/>
              <w:bottom w:w="60" w:type="dxa"/>
              <w:right w:w="100" w:type="dxa"/>
            </w:tcMar>
            <w:vAlign w:val="center"/>
          </w:tcPr>
          <w:p w14:paraId="58ED3302">
            <w:pPr>
              <w:spacing w:line="312" w:lineRule="auto"/>
            </w:pPr>
            <w:r>
              <w:rPr>
                <w:rFonts w:ascii="Times New Roman" w:eastAsia="宋体"/>
                <w:b w:val="0"/>
                <w:bCs w:val="0"/>
                <w:color w:val="182030"/>
                <w:sz w:val="21"/>
                <w:szCs w:val="21"/>
              </w:rPr>
              <w:t>稳态空闲超时</w:t>
            </w:r>
          </w:p>
        </w:tc>
        <w:tc>
          <w:tcPr>
            <w:tcW w:w="1500" w:type="pct"/>
            <w:tcMar>
              <w:top w:w="60" w:type="dxa"/>
              <w:left w:w="100" w:type="dxa"/>
              <w:bottom w:w="60" w:type="dxa"/>
              <w:right w:w="100" w:type="dxa"/>
            </w:tcMar>
            <w:vAlign w:val="center"/>
          </w:tcPr>
          <w:p w14:paraId="02B20102">
            <w:pPr>
              <w:spacing w:line="312" w:lineRule="auto"/>
            </w:pPr>
            <w:r>
              <w:rPr>
                <w:rFonts w:ascii="Times New Roman" w:eastAsia="宋体"/>
                <w:b w:val="0"/>
                <w:bCs w:val="0"/>
                <w:color w:val="182030"/>
                <w:sz w:val="21"/>
                <w:szCs w:val="21"/>
              </w:rPr>
              <w:t>默认 300 秒</w:t>
            </w:r>
          </w:p>
        </w:tc>
        <w:tc>
          <w:tcPr>
            <w:tcW w:w="2200" w:type="pct"/>
            <w:tcMar>
              <w:top w:w="60" w:type="dxa"/>
              <w:left w:w="100" w:type="dxa"/>
              <w:bottom w:w="60" w:type="dxa"/>
              <w:right w:w="100" w:type="dxa"/>
            </w:tcMar>
            <w:vAlign w:val="center"/>
          </w:tcPr>
          <w:p w14:paraId="665197BA">
            <w:pPr>
              <w:spacing w:line="312" w:lineRule="auto"/>
            </w:pPr>
            <w:r>
              <w:rPr>
                <w:rFonts w:ascii="Times New Roman" w:eastAsia="宋体"/>
                <w:b w:val="0"/>
                <w:bCs w:val="0"/>
                <w:color w:val="182030"/>
                <w:sz w:val="21"/>
                <w:szCs w:val="21"/>
              </w:rPr>
              <w:t>与首内容预算一致：生成开始后，重负载步骤同样可能长时间无输出</w:t>
            </w:r>
          </w:p>
        </w:tc>
      </w:tr>
      <w:tr w14:paraId="6CAF00F5">
        <w:trPr>
          <w:cantSplit/>
        </w:trPr>
        <w:tc>
          <w:tcPr>
            <w:tcW w:w="1300" w:type="pct"/>
            <w:tcMar>
              <w:top w:w="60" w:type="dxa"/>
              <w:left w:w="100" w:type="dxa"/>
              <w:bottom w:w="60" w:type="dxa"/>
              <w:right w:w="100" w:type="dxa"/>
            </w:tcMar>
            <w:vAlign w:val="center"/>
          </w:tcPr>
          <w:p w14:paraId="73AE476C">
            <w:pPr>
              <w:spacing w:line="312" w:lineRule="auto"/>
            </w:pPr>
            <w:r>
              <w:rPr>
                <w:rFonts w:ascii="Times New Roman" w:eastAsia="宋体"/>
                <w:b w:val="0"/>
                <w:bCs w:val="0"/>
                <w:color w:val="182030"/>
                <w:sz w:val="21"/>
                <w:szCs w:val="21"/>
              </w:rPr>
              <w:t>断线重连</w:t>
            </w:r>
          </w:p>
        </w:tc>
        <w:tc>
          <w:tcPr>
            <w:tcW w:w="1500" w:type="pct"/>
            <w:tcMar>
              <w:top w:w="60" w:type="dxa"/>
              <w:left w:w="100" w:type="dxa"/>
              <w:bottom w:w="60" w:type="dxa"/>
              <w:right w:w="100" w:type="dxa"/>
            </w:tcMar>
            <w:vAlign w:val="center"/>
          </w:tcPr>
          <w:p w14:paraId="1B6FB009">
            <w:pPr>
              <w:spacing w:line="312" w:lineRule="auto"/>
            </w:pPr>
            <w:r>
              <w:rPr>
                <w:rFonts w:ascii="Times New Roman" w:eastAsia="宋体"/>
                <w:b w:val="0"/>
                <w:bCs w:val="0"/>
                <w:color w:val="182030"/>
                <w:sz w:val="21"/>
                <w:szCs w:val="21"/>
              </w:rPr>
              <w:t>按事件序号补发已产生内容</w:t>
            </w:r>
          </w:p>
        </w:tc>
        <w:tc>
          <w:tcPr>
            <w:tcW w:w="2200" w:type="pct"/>
            <w:tcMar>
              <w:top w:w="60" w:type="dxa"/>
              <w:left w:w="100" w:type="dxa"/>
              <w:bottom w:w="60" w:type="dxa"/>
              <w:right w:w="100" w:type="dxa"/>
            </w:tcMar>
            <w:vAlign w:val="center"/>
          </w:tcPr>
          <w:p w14:paraId="11E511AA">
            <w:pPr>
              <w:spacing w:line="312" w:lineRule="auto"/>
            </w:pPr>
            <w:r>
              <w:rPr>
                <w:rFonts w:ascii="Times New Roman" w:eastAsia="宋体"/>
                <w:b w:val="0"/>
                <w:bCs w:val="0"/>
                <w:color w:val="182030"/>
                <w:sz w:val="21"/>
                <w:szCs w:val="21"/>
              </w:rPr>
              <w:t>页面刷新或网络抖动后可衔接当前回答</w:t>
            </w:r>
          </w:p>
        </w:tc>
      </w:tr>
      <w:tr w14:paraId="2FF35545">
        <w:trPr>
          <w:cantSplit/>
        </w:trPr>
        <w:tc>
          <w:tcPr>
            <w:tcW w:w="1300" w:type="pct"/>
            <w:tcMar>
              <w:top w:w="60" w:type="dxa"/>
              <w:left w:w="100" w:type="dxa"/>
              <w:bottom w:w="60" w:type="dxa"/>
              <w:right w:w="100" w:type="dxa"/>
            </w:tcMar>
            <w:vAlign w:val="center"/>
          </w:tcPr>
          <w:p w14:paraId="2C222BB6">
            <w:pPr>
              <w:spacing w:line="312" w:lineRule="auto"/>
            </w:pPr>
            <w:r>
              <w:rPr>
                <w:rFonts w:ascii="Times New Roman" w:eastAsia="宋体"/>
                <w:b w:val="0"/>
                <w:bCs w:val="0"/>
                <w:color w:val="182030"/>
                <w:sz w:val="21"/>
                <w:szCs w:val="21"/>
              </w:rPr>
              <w:t>增量检查点</w:t>
            </w:r>
          </w:p>
        </w:tc>
        <w:tc>
          <w:tcPr>
            <w:tcW w:w="1500" w:type="pct"/>
            <w:tcMar>
              <w:top w:w="60" w:type="dxa"/>
              <w:left w:w="100" w:type="dxa"/>
              <w:bottom w:w="60" w:type="dxa"/>
              <w:right w:w="100" w:type="dxa"/>
            </w:tcMar>
            <w:vAlign w:val="center"/>
          </w:tcPr>
          <w:p w14:paraId="5EB53B0A">
            <w:pPr>
              <w:spacing w:line="312" w:lineRule="auto"/>
            </w:pPr>
            <w:r>
              <w:rPr>
                <w:rFonts w:ascii="Times New Roman" w:eastAsia="宋体"/>
                <w:b w:val="0"/>
                <w:bCs w:val="0"/>
                <w:color w:val="182030"/>
                <w:sz w:val="21"/>
                <w:szCs w:val="21"/>
              </w:rPr>
              <w:t>每 2 秒保存会话状态</w:t>
            </w:r>
          </w:p>
        </w:tc>
        <w:tc>
          <w:tcPr>
            <w:tcW w:w="2200" w:type="pct"/>
            <w:tcMar>
              <w:top w:w="60" w:type="dxa"/>
              <w:left w:w="100" w:type="dxa"/>
              <w:bottom w:w="60" w:type="dxa"/>
              <w:right w:w="100" w:type="dxa"/>
            </w:tcMar>
            <w:vAlign w:val="center"/>
          </w:tcPr>
          <w:p w14:paraId="2E6D4C55">
            <w:pPr>
              <w:spacing w:line="312" w:lineRule="auto"/>
            </w:pPr>
            <w:r>
              <w:rPr>
                <w:rFonts w:ascii="Times New Roman" w:eastAsia="宋体"/>
                <w:b w:val="0"/>
                <w:bCs w:val="0"/>
                <w:color w:val="182030"/>
                <w:sz w:val="21"/>
                <w:szCs w:val="21"/>
              </w:rPr>
              <w:t>进程异常退出后仍可恢复部分内容</w:t>
            </w:r>
          </w:p>
        </w:tc>
      </w:tr>
      <w:tr w14:paraId="4C099D77">
        <w:trPr>
          <w:cantSplit/>
        </w:trPr>
        <w:tc>
          <w:tcPr>
            <w:tcW w:w="1300" w:type="pct"/>
            <w:tcMar>
              <w:top w:w="60" w:type="dxa"/>
              <w:left w:w="100" w:type="dxa"/>
              <w:bottom w:w="60" w:type="dxa"/>
              <w:right w:w="100" w:type="dxa"/>
            </w:tcMar>
            <w:vAlign w:val="center"/>
          </w:tcPr>
          <w:p w14:paraId="68648921">
            <w:pPr>
              <w:spacing w:line="312" w:lineRule="auto"/>
            </w:pPr>
            <w:r>
              <w:rPr>
                <w:rFonts w:ascii="Times New Roman" w:eastAsia="宋体"/>
                <w:b w:val="0"/>
                <w:bCs w:val="0"/>
                <w:color w:val="182030"/>
                <w:sz w:val="21"/>
                <w:szCs w:val="21"/>
              </w:rPr>
              <w:t>中断收尾</w:t>
            </w:r>
          </w:p>
        </w:tc>
        <w:tc>
          <w:tcPr>
            <w:tcW w:w="1500" w:type="pct"/>
            <w:tcMar>
              <w:top w:w="60" w:type="dxa"/>
              <w:left w:w="100" w:type="dxa"/>
              <w:bottom w:w="60" w:type="dxa"/>
              <w:right w:w="100" w:type="dxa"/>
            </w:tcMar>
            <w:vAlign w:val="center"/>
          </w:tcPr>
          <w:p w14:paraId="5D22BAF3">
            <w:pPr>
              <w:spacing w:line="312" w:lineRule="auto"/>
            </w:pPr>
            <w:r>
              <w:rPr>
                <w:rFonts w:ascii="Times New Roman" w:eastAsia="宋体"/>
                <w:b w:val="0"/>
                <w:bCs w:val="0"/>
                <w:color w:val="182030"/>
                <w:sz w:val="21"/>
                <w:szCs w:val="21"/>
              </w:rPr>
              <w:t>取消时补齐未完成的工具调用</w:t>
            </w:r>
          </w:p>
        </w:tc>
        <w:tc>
          <w:tcPr>
            <w:tcW w:w="2200" w:type="pct"/>
            <w:tcMar>
              <w:top w:w="60" w:type="dxa"/>
              <w:left w:w="100" w:type="dxa"/>
              <w:bottom w:w="60" w:type="dxa"/>
              <w:right w:w="100" w:type="dxa"/>
            </w:tcMar>
            <w:vAlign w:val="center"/>
          </w:tcPr>
          <w:p w14:paraId="57FEEADE">
            <w:pPr>
              <w:spacing w:line="312" w:lineRule="auto"/>
            </w:pPr>
            <w:r>
              <w:rPr>
                <w:rFonts w:ascii="Times New Roman" w:eastAsia="宋体"/>
                <w:b w:val="0"/>
                <w:bCs w:val="0"/>
                <w:color w:val="182030"/>
                <w:sz w:val="21"/>
                <w:szCs w:val="21"/>
              </w:rPr>
              <w:t>避免留下悬空的调用记录</w:t>
            </w:r>
          </w:p>
        </w:tc>
      </w:tr>
    </w:tbl>
    <w:p w14:paraId="4A1801AB">
      <w:pPr>
        <w:spacing w:before="60" w:after="240" w:line="312" w:lineRule="auto"/>
        <w:jc w:val="center"/>
      </w:pPr>
      <w:r>
        <w:rPr>
          <w:rFonts w:ascii="Times New Roman" w:eastAsia="宋体"/>
          <w:color w:val="606060"/>
          <w:sz w:val="21"/>
          <w:szCs w:val="21"/>
        </w:rPr>
        <w:t>表 3-1 流式输出的可靠性设计</w:t>
      </w:r>
    </w:p>
    <w:p w14:paraId="442A5F84">
      <w:pPr>
        <w:pStyle w:val="3"/>
        <w:spacing w:before="280" w:after="120" w:line="345" w:lineRule="atLeast"/>
      </w:pPr>
      <w:bookmarkStart w:id="13" w:name="_Toc14"/>
      <w:r>
        <w:rPr>
          <w:rFonts w:ascii="Times New Roman" w:eastAsia="黑体"/>
          <w:b/>
          <w:bCs/>
          <w:color w:val="1284BA"/>
          <w:sz w:val="30"/>
          <w:szCs w:val="30"/>
        </w:rPr>
        <w:t>3.5 数据存储布局</w:t>
      </w:r>
      <w:bookmarkEnd w:id="13"/>
    </w:p>
    <w:p w14:paraId="45E10959">
      <w:pPr>
        <w:spacing w:after="60" w:line="312" w:lineRule="auto"/>
        <w:ind w:firstLine="480"/>
        <w:jc w:val="both"/>
      </w:pPr>
      <w:r>
        <w:rPr>
          <w:rFonts w:ascii="Times New Roman" w:eastAsia="宋体"/>
          <w:color w:val="182030"/>
          <w:sz w:val="24"/>
          <w:szCs w:val="24"/>
        </w:rPr>
        <w:t>平台的数据按其性质分工存储，避免单一存储承载全部职责。平台自身的运行数据与业务数据统一存放在数据库中：</w:t>
      </w:r>
    </w:p>
    <w:p w14:paraId="359A0FE5">
      <w:pPr>
        <w:spacing w:after="40" w:line="312" w:lineRule="auto"/>
        <w:ind w:left="480" w:hanging="240"/>
        <w:jc w:val="both"/>
      </w:pPr>
      <w:r>
        <w:rPr>
          <w:rFonts w:ascii="Times New Roman" w:eastAsia="宋体"/>
          <w:color w:val="182030"/>
          <w:sz w:val="24"/>
          <w:szCs w:val="24"/>
        </w:rPr>
        <w:t>· PostgreSQL 17：单一数据源，承载四类数据。一是知识库的结构化数据，包括知识空间、文档、分片、实体、关系与向量；二是平台自身的数据，包括会话完整轨迹、治理审计记录、用量统计与路径授权关系；三是各账号独立的数据分析库；四是知识图谱的图存储。</w:t>
      </w:r>
    </w:p>
    <w:p w14:paraId="2C1700DE">
      <w:pPr>
        <w:spacing w:after="40" w:line="312" w:lineRule="auto"/>
        <w:ind w:left="480" w:hanging="240"/>
        <w:jc w:val="both"/>
      </w:pPr>
      <w:r>
        <w:rPr>
          <w:rFonts w:ascii="Times New Roman" w:eastAsia="宋体"/>
          <w:color w:val="182030"/>
          <w:sz w:val="24"/>
          <w:szCs w:val="24"/>
        </w:rPr>
        <w:t>· 工作区文件系统：保存会话状态快照、上传文件、生成的文件与图表、以及各账号的暂存目录。目录结构按账号划分，实现文件层面的隔离。</w:t>
      </w:r>
    </w:p>
    <w:p w14:paraId="699486BC">
      <w:pPr>
        <w:spacing w:after="60" w:line="312" w:lineRule="auto"/>
        <w:ind w:firstLine="480"/>
        <w:jc w:val="both"/>
      </w:pPr>
      <w:r>
        <w:rPr>
          <w:rFonts w:ascii="Times New Roman" w:eastAsia="宋体"/>
          <w:color w:val="182030"/>
          <w:sz w:val="24"/>
          <w:szCs w:val="24"/>
        </w:rPr>
        <w:t>把平台数据统一存放在数据库中的意义在于：备份与恢复只需针对一个数据源；数据不随容器重建而面临丢失风险；并且「谁在什么时候做了什么」这类记录可以和业务数据一样被统一查询与审计。</w:t>
      </w:r>
    </w:p>
    <w:p w14:paraId="556157CC">
      <w:pPr>
        <w:pStyle w:val="2"/>
        <w:pageBreakBefore/>
        <w:spacing w:before="360" w:after="160" w:line="368" w:lineRule="atLeast"/>
      </w:pPr>
      <w:bookmarkStart w:id="14" w:name="_Toc15"/>
      <w:r>
        <w:rPr>
          <w:rFonts w:ascii="Times New Roman" w:eastAsia="黑体"/>
          <w:b/>
          <w:bCs/>
          <w:color w:val="1284BA"/>
          <w:sz w:val="32"/>
          <w:szCs w:val="32"/>
        </w:rPr>
        <w:t>四、知识库构建流程</w:t>
      </w:r>
      <w:bookmarkEnd w:id="14"/>
    </w:p>
    <w:p w14:paraId="01C12C78">
      <w:pPr>
        <w:pStyle w:val="3"/>
        <w:spacing w:before="280" w:after="120" w:line="345" w:lineRule="atLeast"/>
      </w:pPr>
      <w:bookmarkStart w:id="15" w:name="_Toc16"/>
      <w:r>
        <w:rPr>
          <w:rFonts w:ascii="Times New Roman" w:eastAsia="黑体"/>
          <w:b/>
          <w:bCs/>
          <w:color w:val="1284BA"/>
          <w:sz w:val="30"/>
          <w:szCs w:val="30"/>
        </w:rPr>
        <w:t>4.1 全流程概览</w:t>
      </w:r>
      <w:bookmarkEnd w:id="15"/>
    </w:p>
    <w:p w14:paraId="26D89B7C">
      <w:pPr>
        <w:spacing w:after="60" w:line="312" w:lineRule="auto"/>
        <w:ind w:firstLine="480"/>
        <w:jc w:val="both"/>
      </w:pPr>
      <w:r>
        <w:rPr>
          <w:rFonts w:ascii="Times New Roman" w:eastAsia="宋体"/>
          <w:color w:val="182030"/>
          <w:sz w:val="24"/>
          <w:szCs w:val="24"/>
        </w:rPr>
        <w:t>知识库的作用是把分散的制度、材料、文书转化为模型可以语义检索的知识。从民警上传一份文件到该文件可被检索，平台内部经过一条完整的处理流水线：</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438"/>
        <w:gridCol w:w="3236"/>
        <w:gridCol w:w="4314"/>
      </w:tblGrid>
      <w:tr w14:paraId="2E8840C9">
        <w:trPr>
          <w:cantSplit/>
          <w:tblHeader/>
        </w:trPr>
        <w:tc>
          <w:tcPr>
            <w:tcW w:w="800" w:type="pct"/>
            <w:shd w:val="clear" w:color="auto" w:fill="1284BA"/>
            <w:tcMar>
              <w:top w:w="60" w:type="dxa"/>
              <w:left w:w="100" w:type="dxa"/>
              <w:bottom w:w="60" w:type="dxa"/>
              <w:right w:w="100" w:type="dxa"/>
            </w:tcMar>
            <w:vAlign w:val="center"/>
          </w:tcPr>
          <w:p w14:paraId="20049A43">
            <w:pPr>
              <w:spacing w:line="312" w:lineRule="auto"/>
            </w:pPr>
            <w:r>
              <w:rPr>
                <w:rFonts w:ascii="Times New Roman" w:eastAsia="宋体"/>
                <w:b/>
                <w:bCs/>
                <w:color w:val="FFFFFF"/>
                <w:sz w:val="21"/>
                <w:szCs w:val="21"/>
              </w:rPr>
              <w:t>阶段</w:t>
            </w:r>
          </w:p>
        </w:tc>
        <w:tc>
          <w:tcPr>
            <w:tcW w:w="1800" w:type="pct"/>
            <w:shd w:val="clear" w:color="auto" w:fill="1284BA"/>
            <w:tcMar>
              <w:top w:w="60" w:type="dxa"/>
              <w:left w:w="100" w:type="dxa"/>
              <w:bottom w:w="60" w:type="dxa"/>
              <w:right w:w="100" w:type="dxa"/>
            </w:tcMar>
            <w:vAlign w:val="center"/>
          </w:tcPr>
          <w:p w14:paraId="41A36F3D">
            <w:pPr>
              <w:spacing w:line="312" w:lineRule="auto"/>
            </w:pPr>
            <w:r>
              <w:rPr>
                <w:rFonts w:ascii="Times New Roman" w:eastAsia="宋体"/>
                <w:b/>
                <w:bCs/>
                <w:color w:val="FFFFFF"/>
                <w:sz w:val="21"/>
                <w:szCs w:val="21"/>
              </w:rPr>
              <w:t>处理内容</w:t>
            </w:r>
          </w:p>
        </w:tc>
        <w:tc>
          <w:tcPr>
            <w:tcW w:w="2400" w:type="pct"/>
            <w:shd w:val="clear" w:color="auto" w:fill="1284BA"/>
            <w:tcMar>
              <w:top w:w="60" w:type="dxa"/>
              <w:left w:w="100" w:type="dxa"/>
              <w:bottom w:w="60" w:type="dxa"/>
              <w:right w:w="100" w:type="dxa"/>
            </w:tcMar>
            <w:vAlign w:val="center"/>
          </w:tcPr>
          <w:p w14:paraId="18ECA466">
            <w:pPr>
              <w:spacing w:line="312" w:lineRule="auto"/>
            </w:pPr>
            <w:r>
              <w:rPr>
                <w:rFonts w:ascii="Times New Roman" w:eastAsia="宋体"/>
                <w:b/>
                <w:bCs/>
                <w:color w:val="FFFFFF"/>
                <w:sz w:val="21"/>
                <w:szCs w:val="21"/>
              </w:rPr>
              <w:t>关键设计</w:t>
            </w:r>
          </w:p>
        </w:tc>
      </w:tr>
      <w:tr w14:paraId="38930C11">
        <w:trPr>
          <w:cantSplit/>
        </w:trPr>
        <w:tc>
          <w:tcPr>
            <w:tcW w:w="800" w:type="pct"/>
            <w:tcMar>
              <w:top w:w="60" w:type="dxa"/>
              <w:left w:w="100" w:type="dxa"/>
              <w:bottom w:w="60" w:type="dxa"/>
              <w:right w:w="100" w:type="dxa"/>
            </w:tcMar>
            <w:vAlign w:val="center"/>
          </w:tcPr>
          <w:p w14:paraId="0E7CD8E7">
            <w:pPr>
              <w:spacing w:line="312" w:lineRule="auto"/>
            </w:pPr>
            <w:r>
              <w:rPr>
                <w:rFonts w:ascii="Times New Roman" w:eastAsia="宋体"/>
                <w:b w:val="0"/>
                <w:bCs w:val="0"/>
                <w:color w:val="182030"/>
                <w:sz w:val="21"/>
                <w:szCs w:val="21"/>
              </w:rPr>
              <w:t>上传与校验</w:t>
            </w:r>
          </w:p>
        </w:tc>
        <w:tc>
          <w:tcPr>
            <w:tcW w:w="1800" w:type="pct"/>
            <w:tcMar>
              <w:top w:w="60" w:type="dxa"/>
              <w:left w:w="100" w:type="dxa"/>
              <w:bottom w:w="60" w:type="dxa"/>
              <w:right w:w="100" w:type="dxa"/>
            </w:tcMar>
            <w:vAlign w:val="center"/>
          </w:tcPr>
          <w:p w14:paraId="582CCC6F">
            <w:pPr>
              <w:spacing w:line="312" w:lineRule="auto"/>
            </w:pPr>
            <w:r>
              <w:rPr>
                <w:rFonts w:ascii="Times New Roman" w:eastAsia="宋体"/>
                <w:b w:val="0"/>
                <w:bCs w:val="0"/>
                <w:color w:val="182030"/>
                <w:sz w:val="21"/>
                <w:szCs w:val="21"/>
              </w:rPr>
              <w:t>格式与大小校验，流式计算内容指纹</w:t>
            </w:r>
          </w:p>
        </w:tc>
        <w:tc>
          <w:tcPr>
            <w:tcW w:w="2400" w:type="pct"/>
            <w:tcMar>
              <w:top w:w="60" w:type="dxa"/>
              <w:left w:w="100" w:type="dxa"/>
              <w:bottom w:w="60" w:type="dxa"/>
              <w:right w:w="100" w:type="dxa"/>
            </w:tcMar>
            <w:vAlign w:val="center"/>
          </w:tcPr>
          <w:p w14:paraId="531A0D6B">
            <w:pPr>
              <w:spacing w:line="312" w:lineRule="auto"/>
            </w:pPr>
            <w:r>
              <w:rPr>
                <w:rFonts w:ascii="Times New Roman" w:eastAsia="宋体"/>
                <w:b w:val="0"/>
                <w:bCs w:val="0"/>
                <w:color w:val="182030"/>
                <w:sz w:val="21"/>
                <w:szCs w:val="21"/>
              </w:rPr>
              <w:t>支持 PDF、Word、Excel、CSV、文本、Markdown、JSON 等；单文件上限 10 GB；重复文件按指纹秒级去重</w:t>
            </w:r>
          </w:p>
        </w:tc>
      </w:tr>
      <w:tr w14:paraId="12270AD5">
        <w:trPr>
          <w:cantSplit/>
        </w:trPr>
        <w:tc>
          <w:tcPr>
            <w:tcW w:w="800" w:type="pct"/>
            <w:tcMar>
              <w:top w:w="60" w:type="dxa"/>
              <w:left w:w="100" w:type="dxa"/>
              <w:bottom w:w="60" w:type="dxa"/>
              <w:right w:w="100" w:type="dxa"/>
            </w:tcMar>
            <w:vAlign w:val="center"/>
          </w:tcPr>
          <w:p w14:paraId="5E18AF3B">
            <w:pPr>
              <w:spacing w:line="312" w:lineRule="auto"/>
            </w:pPr>
            <w:r>
              <w:rPr>
                <w:rFonts w:ascii="Times New Roman" w:eastAsia="宋体"/>
                <w:b w:val="0"/>
                <w:bCs w:val="0"/>
                <w:color w:val="182030"/>
                <w:sz w:val="21"/>
                <w:szCs w:val="21"/>
              </w:rPr>
              <w:t>落盘暂存</w:t>
            </w:r>
          </w:p>
        </w:tc>
        <w:tc>
          <w:tcPr>
            <w:tcW w:w="1800" w:type="pct"/>
            <w:tcMar>
              <w:top w:w="60" w:type="dxa"/>
              <w:left w:w="100" w:type="dxa"/>
              <w:bottom w:w="60" w:type="dxa"/>
              <w:right w:w="100" w:type="dxa"/>
            </w:tcMar>
            <w:vAlign w:val="center"/>
          </w:tcPr>
          <w:p w14:paraId="2C8C93AB">
            <w:pPr>
              <w:spacing w:line="312" w:lineRule="auto"/>
            </w:pPr>
            <w:r>
              <w:rPr>
                <w:rFonts w:ascii="Times New Roman" w:eastAsia="宋体"/>
                <w:b w:val="0"/>
                <w:bCs w:val="0"/>
                <w:color w:val="182030"/>
                <w:sz w:val="21"/>
                <w:szCs w:val="21"/>
              </w:rPr>
              <w:t>按知识空间与文档编号归档</w:t>
            </w:r>
          </w:p>
        </w:tc>
        <w:tc>
          <w:tcPr>
            <w:tcW w:w="2400" w:type="pct"/>
            <w:tcMar>
              <w:top w:w="60" w:type="dxa"/>
              <w:left w:w="100" w:type="dxa"/>
              <w:bottom w:w="60" w:type="dxa"/>
              <w:right w:w="100" w:type="dxa"/>
            </w:tcMar>
            <w:vAlign w:val="center"/>
          </w:tcPr>
          <w:p w14:paraId="51042BA3">
            <w:pPr>
              <w:spacing w:line="312" w:lineRule="auto"/>
            </w:pPr>
            <w:r>
              <w:rPr>
                <w:rFonts w:ascii="Times New Roman" w:eastAsia="宋体"/>
                <w:b w:val="0"/>
                <w:bCs w:val="0"/>
                <w:color w:val="182030"/>
                <w:sz w:val="21"/>
                <w:szCs w:val="21"/>
              </w:rPr>
              <w:t>文件落在知识空间目录下，与账号绑定</w:t>
            </w:r>
          </w:p>
        </w:tc>
      </w:tr>
      <w:tr w14:paraId="14776FEE">
        <w:trPr>
          <w:cantSplit/>
        </w:trPr>
        <w:tc>
          <w:tcPr>
            <w:tcW w:w="800" w:type="pct"/>
            <w:tcMar>
              <w:top w:w="60" w:type="dxa"/>
              <w:left w:w="100" w:type="dxa"/>
              <w:bottom w:w="60" w:type="dxa"/>
              <w:right w:w="100" w:type="dxa"/>
            </w:tcMar>
            <w:vAlign w:val="center"/>
          </w:tcPr>
          <w:p w14:paraId="6065C7F6">
            <w:pPr>
              <w:spacing w:line="312" w:lineRule="auto"/>
            </w:pPr>
            <w:r>
              <w:rPr>
                <w:rFonts w:ascii="Times New Roman" w:eastAsia="宋体"/>
                <w:b w:val="0"/>
                <w:bCs w:val="0"/>
                <w:color w:val="182030"/>
                <w:sz w:val="21"/>
                <w:szCs w:val="21"/>
              </w:rPr>
              <w:t>解析</w:t>
            </w:r>
          </w:p>
        </w:tc>
        <w:tc>
          <w:tcPr>
            <w:tcW w:w="1800" w:type="pct"/>
            <w:tcMar>
              <w:top w:w="60" w:type="dxa"/>
              <w:left w:w="100" w:type="dxa"/>
              <w:bottom w:w="60" w:type="dxa"/>
              <w:right w:w="100" w:type="dxa"/>
            </w:tcMar>
            <w:vAlign w:val="center"/>
          </w:tcPr>
          <w:p w14:paraId="1845067A">
            <w:pPr>
              <w:spacing w:line="312" w:lineRule="auto"/>
            </w:pPr>
            <w:r>
              <w:rPr>
                <w:rFonts w:ascii="Times New Roman" w:eastAsia="宋体"/>
                <w:b w:val="0"/>
                <w:bCs w:val="0"/>
                <w:color w:val="182030"/>
                <w:sz w:val="21"/>
                <w:szCs w:val="21"/>
              </w:rPr>
              <w:t>版面分析与文本抽取</w:t>
            </w:r>
          </w:p>
        </w:tc>
        <w:tc>
          <w:tcPr>
            <w:tcW w:w="2400" w:type="pct"/>
            <w:tcMar>
              <w:top w:w="60" w:type="dxa"/>
              <w:left w:w="100" w:type="dxa"/>
              <w:bottom w:w="60" w:type="dxa"/>
              <w:right w:w="100" w:type="dxa"/>
            </w:tcMar>
            <w:vAlign w:val="center"/>
          </w:tcPr>
          <w:p w14:paraId="78762211">
            <w:pPr>
              <w:spacing w:line="312" w:lineRule="auto"/>
            </w:pPr>
            <w:r>
              <w:rPr>
                <w:rFonts w:ascii="Times New Roman" w:eastAsia="宋体"/>
                <w:b w:val="0"/>
                <w:bCs w:val="0"/>
                <w:color w:val="182030"/>
                <w:sz w:val="21"/>
                <w:szCs w:val="21"/>
              </w:rPr>
              <w:t>PDF 与 Word 优先使用 MinerU 进行版面、表格与公式识别；文本类文件走轻量解析</w:t>
            </w:r>
          </w:p>
        </w:tc>
      </w:tr>
      <w:tr w14:paraId="63A99CC5">
        <w:trPr>
          <w:cantSplit/>
        </w:trPr>
        <w:tc>
          <w:tcPr>
            <w:tcW w:w="800" w:type="pct"/>
            <w:tcMar>
              <w:top w:w="60" w:type="dxa"/>
              <w:left w:w="100" w:type="dxa"/>
              <w:bottom w:w="60" w:type="dxa"/>
              <w:right w:w="100" w:type="dxa"/>
            </w:tcMar>
            <w:vAlign w:val="center"/>
          </w:tcPr>
          <w:p w14:paraId="5297FCA1">
            <w:pPr>
              <w:spacing w:line="312" w:lineRule="auto"/>
            </w:pPr>
            <w:r>
              <w:rPr>
                <w:rFonts w:ascii="Times New Roman" w:eastAsia="宋体"/>
                <w:b w:val="0"/>
                <w:bCs w:val="0"/>
                <w:color w:val="182030"/>
                <w:sz w:val="21"/>
                <w:szCs w:val="21"/>
              </w:rPr>
              <w:t>降级保障</w:t>
            </w:r>
          </w:p>
        </w:tc>
        <w:tc>
          <w:tcPr>
            <w:tcW w:w="1800" w:type="pct"/>
            <w:tcMar>
              <w:top w:w="60" w:type="dxa"/>
              <w:left w:w="100" w:type="dxa"/>
              <w:bottom w:w="60" w:type="dxa"/>
              <w:right w:w="100" w:type="dxa"/>
            </w:tcMar>
            <w:vAlign w:val="center"/>
          </w:tcPr>
          <w:p w14:paraId="68FF1221">
            <w:pPr>
              <w:spacing w:line="312" w:lineRule="auto"/>
            </w:pPr>
            <w:r>
              <w:rPr>
                <w:rFonts w:ascii="Times New Roman" w:eastAsia="宋体"/>
                <w:b w:val="0"/>
                <w:bCs w:val="0"/>
                <w:color w:val="182030"/>
                <w:sz w:val="21"/>
                <w:szCs w:val="21"/>
              </w:rPr>
              <w:t>解析失败时自动降级</w:t>
            </w:r>
          </w:p>
        </w:tc>
        <w:tc>
          <w:tcPr>
            <w:tcW w:w="2400" w:type="pct"/>
            <w:tcMar>
              <w:top w:w="60" w:type="dxa"/>
              <w:left w:w="100" w:type="dxa"/>
              <w:bottom w:w="60" w:type="dxa"/>
              <w:right w:w="100" w:type="dxa"/>
            </w:tcMar>
            <w:vAlign w:val="center"/>
          </w:tcPr>
          <w:p w14:paraId="432AAD0C">
            <w:pPr>
              <w:spacing w:line="312" w:lineRule="auto"/>
            </w:pPr>
            <w:r>
              <w:rPr>
                <w:rFonts w:ascii="Times New Roman" w:eastAsia="宋体"/>
                <w:b w:val="0"/>
                <w:bCs w:val="0"/>
                <w:color w:val="182030"/>
                <w:sz w:val="21"/>
                <w:szCs w:val="21"/>
              </w:rPr>
              <w:t>MinerU 不可用或超时，自动回退为轻量解析，确保文档仍可入库</w:t>
            </w:r>
          </w:p>
        </w:tc>
      </w:tr>
      <w:tr w14:paraId="54251CCB">
        <w:trPr>
          <w:cantSplit/>
        </w:trPr>
        <w:tc>
          <w:tcPr>
            <w:tcW w:w="800" w:type="pct"/>
            <w:tcMar>
              <w:top w:w="60" w:type="dxa"/>
              <w:left w:w="100" w:type="dxa"/>
              <w:bottom w:w="60" w:type="dxa"/>
              <w:right w:w="100" w:type="dxa"/>
            </w:tcMar>
            <w:vAlign w:val="center"/>
          </w:tcPr>
          <w:p w14:paraId="0956BEE8">
            <w:pPr>
              <w:spacing w:line="312" w:lineRule="auto"/>
            </w:pPr>
            <w:r>
              <w:rPr>
                <w:rFonts w:ascii="Times New Roman" w:eastAsia="宋体"/>
                <w:b w:val="0"/>
                <w:bCs w:val="0"/>
                <w:color w:val="182030"/>
                <w:sz w:val="21"/>
                <w:szCs w:val="21"/>
              </w:rPr>
              <w:t>分块</w:t>
            </w:r>
          </w:p>
        </w:tc>
        <w:tc>
          <w:tcPr>
            <w:tcW w:w="1800" w:type="pct"/>
            <w:tcMar>
              <w:top w:w="60" w:type="dxa"/>
              <w:left w:w="100" w:type="dxa"/>
              <w:bottom w:w="60" w:type="dxa"/>
              <w:right w:w="100" w:type="dxa"/>
            </w:tcMar>
            <w:vAlign w:val="center"/>
          </w:tcPr>
          <w:p w14:paraId="7E307825">
            <w:pPr>
              <w:spacing w:line="312" w:lineRule="auto"/>
            </w:pPr>
            <w:r>
              <w:rPr>
                <w:rFonts w:ascii="Times New Roman" w:eastAsia="宋体"/>
                <w:b w:val="0"/>
                <w:bCs w:val="0"/>
                <w:color w:val="182030"/>
                <w:sz w:val="21"/>
                <w:szCs w:val="21"/>
              </w:rPr>
              <w:t>按语义边界切分</w:t>
            </w:r>
          </w:p>
        </w:tc>
        <w:tc>
          <w:tcPr>
            <w:tcW w:w="2400" w:type="pct"/>
            <w:tcMar>
              <w:top w:w="60" w:type="dxa"/>
              <w:left w:w="100" w:type="dxa"/>
              <w:bottom w:w="60" w:type="dxa"/>
              <w:right w:w="100" w:type="dxa"/>
            </w:tcMar>
            <w:vAlign w:val="center"/>
          </w:tcPr>
          <w:p w14:paraId="33D9CA96">
            <w:pPr>
              <w:spacing w:line="312" w:lineRule="auto"/>
            </w:pPr>
            <w:r>
              <w:rPr>
                <w:rFonts w:ascii="Times New Roman" w:eastAsia="宋体"/>
                <w:b w:val="0"/>
                <w:bCs w:val="0"/>
                <w:color w:val="182030"/>
                <w:sz w:val="21"/>
                <w:szCs w:val="21"/>
              </w:rPr>
              <w:t>以 1400 字符为基准，按中英文标点等边界切分，避免切断句子</w:t>
            </w:r>
          </w:p>
        </w:tc>
      </w:tr>
      <w:tr w14:paraId="2E7E8C74">
        <w:trPr>
          <w:cantSplit/>
        </w:trPr>
        <w:tc>
          <w:tcPr>
            <w:tcW w:w="800" w:type="pct"/>
            <w:tcMar>
              <w:top w:w="60" w:type="dxa"/>
              <w:left w:w="100" w:type="dxa"/>
              <w:bottom w:w="60" w:type="dxa"/>
              <w:right w:w="100" w:type="dxa"/>
            </w:tcMar>
            <w:vAlign w:val="center"/>
          </w:tcPr>
          <w:p w14:paraId="148F63E3">
            <w:pPr>
              <w:spacing w:line="312" w:lineRule="auto"/>
            </w:pPr>
            <w:r>
              <w:rPr>
                <w:rFonts w:ascii="Times New Roman" w:eastAsia="宋体"/>
                <w:b w:val="0"/>
                <w:bCs w:val="0"/>
                <w:color w:val="182030"/>
                <w:sz w:val="21"/>
                <w:szCs w:val="21"/>
              </w:rPr>
              <w:t>向量化</w:t>
            </w:r>
          </w:p>
        </w:tc>
        <w:tc>
          <w:tcPr>
            <w:tcW w:w="1800" w:type="pct"/>
            <w:tcMar>
              <w:top w:w="60" w:type="dxa"/>
              <w:left w:w="100" w:type="dxa"/>
              <w:bottom w:w="60" w:type="dxa"/>
              <w:right w:w="100" w:type="dxa"/>
            </w:tcMar>
            <w:vAlign w:val="center"/>
          </w:tcPr>
          <w:p w14:paraId="0FB13D5D">
            <w:pPr>
              <w:spacing w:line="312" w:lineRule="auto"/>
            </w:pPr>
            <w:r>
              <w:rPr>
                <w:rFonts w:ascii="Times New Roman" w:eastAsia="宋体"/>
                <w:b w:val="0"/>
                <w:bCs w:val="0"/>
                <w:color w:val="182030"/>
                <w:sz w:val="21"/>
                <w:szCs w:val="21"/>
              </w:rPr>
              <w:t>调用向量模型生成语义向量</w:t>
            </w:r>
          </w:p>
        </w:tc>
        <w:tc>
          <w:tcPr>
            <w:tcW w:w="2400" w:type="pct"/>
            <w:tcMar>
              <w:top w:w="60" w:type="dxa"/>
              <w:left w:w="100" w:type="dxa"/>
              <w:bottom w:w="60" w:type="dxa"/>
              <w:right w:w="100" w:type="dxa"/>
            </w:tcMar>
            <w:vAlign w:val="center"/>
          </w:tcPr>
          <w:p w14:paraId="6D17AB2B">
            <w:pPr>
              <w:spacing w:line="312" w:lineRule="auto"/>
            </w:pPr>
            <w:r>
              <w:rPr>
                <w:rFonts w:ascii="Times New Roman" w:eastAsia="宋体"/>
                <w:b w:val="0"/>
                <w:bCs w:val="0"/>
                <w:color w:val="182030"/>
                <w:sz w:val="21"/>
                <w:szCs w:val="21"/>
              </w:rPr>
              <w:t>分批处理，每批 32 条，支持配置向量维度</w:t>
            </w:r>
          </w:p>
        </w:tc>
      </w:tr>
      <w:tr w14:paraId="2F5A64E0">
        <w:trPr>
          <w:cantSplit/>
        </w:trPr>
        <w:tc>
          <w:tcPr>
            <w:tcW w:w="800" w:type="pct"/>
            <w:tcMar>
              <w:top w:w="60" w:type="dxa"/>
              <w:left w:w="100" w:type="dxa"/>
              <w:bottom w:w="60" w:type="dxa"/>
              <w:right w:w="100" w:type="dxa"/>
            </w:tcMar>
            <w:vAlign w:val="center"/>
          </w:tcPr>
          <w:p w14:paraId="555430CE">
            <w:pPr>
              <w:spacing w:line="312" w:lineRule="auto"/>
            </w:pPr>
            <w:r>
              <w:rPr>
                <w:rFonts w:ascii="Times New Roman" w:eastAsia="宋体"/>
                <w:b w:val="0"/>
                <w:bCs w:val="0"/>
                <w:color w:val="182030"/>
                <w:sz w:val="21"/>
                <w:szCs w:val="21"/>
              </w:rPr>
              <w:t>实体与关系抽取</w:t>
            </w:r>
          </w:p>
        </w:tc>
        <w:tc>
          <w:tcPr>
            <w:tcW w:w="1800" w:type="pct"/>
            <w:tcMar>
              <w:top w:w="60" w:type="dxa"/>
              <w:left w:w="100" w:type="dxa"/>
              <w:bottom w:w="60" w:type="dxa"/>
              <w:right w:w="100" w:type="dxa"/>
            </w:tcMar>
            <w:vAlign w:val="center"/>
          </w:tcPr>
          <w:p w14:paraId="7AB56555">
            <w:pPr>
              <w:spacing w:line="312" w:lineRule="auto"/>
            </w:pPr>
            <w:r>
              <w:rPr>
                <w:rFonts w:ascii="Times New Roman" w:eastAsia="宋体"/>
                <w:b w:val="0"/>
                <w:bCs w:val="0"/>
                <w:color w:val="182030"/>
                <w:sz w:val="21"/>
                <w:szCs w:val="21"/>
              </w:rPr>
              <w:t>识别实体及其关联</w:t>
            </w:r>
          </w:p>
        </w:tc>
        <w:tc>
          <w:tcPr>
            <w:tcW w:w="2400" w:type="pct"/>
            <w:tcMar>
              <w:top w:w="60" w:type="dxa"/>
              <w:left w:w="100" w:type="dxa"/>
              <w:bottom w:w="60" w:type="dxa"/>
              <w:right w:w="100" w:type="dxa"/>
            </w:tcMar>
            <w:vAlign w:val="center"/>
          </w:tcPr>
          <w:p w14:paraId="5FEFE9E1">
            <w:pPr>
              <w:spacing w:line="312" w:lineRule="auto"/>
            </w:pPr>
            <w:r>
              <w:rPr>
                <w:rFonts w:ascii="Times New Roman" w:eastAsia="宋体"/>
                <w:b w:val="0"/>
                <w:bCs w:val="0"/>
                <w:color w:val="182030"/>
                <w:sz w:val="21"/>
                <w:szCs w:val="21"/>
              </w:rPr>
              <w:t>由对话模型抽取，超长内容分批并并发处理；失败时使用人名启发式兜底</w:t>
            </w:r>
          </w:p>
        </w:tc>
      </w:tr>
      <w:tr w14:paraId="117FF48B">
        <w:trPr>
          <w:cantSplit/>
        </w:trPr>
        <w:tc>
          <w:tcPr>
            <w:tcW w:w="800" w:type="pct"/>
            <w:tcMar>
              <w:top w:w="60" w:type="dxa"/>
              <w:left w:w="100" w:type="dxa"/>
              <w:bottom w:w="60" w:type="dxa"/>
              <w:right w:w="100" w:type="dxa"/>
            </w:tcMar>
            <w:vAlign w:val="center"/>
          </w:tcPr>
          <w:p w14:paraId="7D66610B">
            <w:pPr>
              <w:spacing w:line="312" w:lineRule="auto"/>
            </w:pPr>
            <w:r>
              <w:rPr>
                <w:rFonts w:ascii="Times New Roman" w:eastAsia="宋体"/>
                <w:b w:val="0"/>
                <w:bCs w:val="0"/>
                <w:color w:val="182030"/>
                <w:sz w:val="21"/>
                <w:szCs w:val="21"/>
              </w:rPr>
              <w:t>图谱入库</w:t>
            </w:r>
          </w:p>
        </w:tc>
        <w:tc>
          <w:tcPr>
            <w:tcW w:w="1800" w:type="pct"/>
            <w:tcMar>
              <w:top w:w="60" w:type="dxa"/>
              <w:left w:w="100" w:type="dxa"/>
              <w:bottom w:w="60" w:type="dxa"/>
              <w:right w:w="100" w:type="dxa"/>
            </w:tcMar>
            <w:vAlign w:val="center"/>
          </w:tcPr>
          <w:p w14:paraId="1870314A">
            <w:pPr>
              <w:spacing w:line="312" w:lineRule="auto"/>
            </w:pPr>
            <w:r>
              <w:rPr>
                <w:rFonts w:ascii="Times New Roman" w:eastAsia="宋体"/>
                <w:b w:val="0"/>
                <w:bCs w:val="0"/>
                <w:color w:val="182030"/>
                <w:sz w:val="21"/>
                <w:szCs w:val="21"/>
              </w:rPr>
              <w:t>写入知识图谱</w:t>
            </w:r>
          </w:p>
        </w:tc>
        <w:tc>
          <w:tcPr>
            <w:tcW w:w="2400" w:type="pct"/>
            <w:tcMar>
              <w:top w:w="60" w:type="dxa"/>
              <w:left w:w="100" w:type="dxa"/>
              <w:bottom w:w="60" w:type="dxa"/>
              <w:right w:w="100" w:type="dxa"/>
            </w:tcMar>
            <w:vAlign w:val="center"/>
          </w:tcPr>
          <w:p w14:paraId="5DB6A94F">
            <w:pPr>
              <w:spacing w:line="312" w:lineRule="auto"/>
            </w:pPr>
            <w:r>
              <w:rPr>
                <w:rFonts w:ascii="Times New Roman" w:eastAsia="宋体"/>
                <w:b w:val="0"/>
                <w:bCs w:val="0"/>
                <w:color w:val="182030"/>
                <w:sz w:val="21"/>
                <w:szCs w:val="21"/>
              </w:rPr>
              <w:t>可选环节，LightRAG 可用时写入图谱，不可用时主流程不受影响</w:t>
            </w:r>
          </w:p>
        </w:tc>
      </w:tr>
      <w:tr w14:paraId="76C1AFE8">
        <w:trPr>
          <w:cantSplit/>
        </w:trPr>
        <w:tc>
          <w:tcPr>
            <w:tcW w:w="800" w:type="pct"/>
            <w:tcMar>
              <w:top w:w="60" w:type="dxa"/>
              <w:left w:w="100" w:type="dxa"/>
              <w:bottom w:w="60" w:type="dxa"/>
              <w:right w:w="100" w:type="dxa"/>
            </w:tcMar>
            <w:vAlign w:val="center"/>
          </w:tcPr>
          <w:p w14:paraId="477F1F4F">
            <w:pPr>
              <w:spacing w:line="312" w:lineRule="auto"/>
            </w:pPr>
            <w:r>
              <w:rPr>
                <w:rFonts w:ascii="Times New Roman" w:eastAsia="宋体"/>
                <w:b w:val="0"/>
                <w:bCs w:val="0"/>
                <w:color w:val="182030"/>
                <w:sz w:val="21"/>
                <w:szCs w:val="21"/>
              </w:rPr>
              <w:t>落库完成</w:t>
            </w:r>
          </w:p>
        </w:tc>
        <w:tc>
          <w:tcPr>
            <w:tcW w:w="1800" w:type="pct"/>
            <w:tcMar>
              <w:top w:w="60" w:type="dxa"/>
              <w:left w:w="100" w:type="dxa"/>
              <w:bottom w:w="60" w:type="dxa"/>
              <w:right w:w="100" w:type="dxa"/>
            </w:tcMar>
            <w:vAlign w:val="center"/>
          </w:tcPr>
          <w:p w14:paraId="796B1F89">
            <w:pPr>
              <w:spacing w:line="312" w:lineRule="auto"/>
            </w:pPr>
            <w:r>
              <w:rPr>
                <w:rFonts w:ascii="Times New Roman" w:eastAsia="宋体"/>
                <w:b w:val="0"/>
                <w:bCs w:val="0"/>
                <w:color w:val="182030"/>
                <w:sz w:val="21"/>
                <w:szCs w:val="21"/>
              </w:rPr>
              <w:t>写入结构化存储并建立索引</w:t>
            </w:r>
          </w:p>
        </w:tc>
        <w:tc>
          <w:tcPr>
            <w:tcW w:w="2400" w:type="pct"/>
            <w:tcMar>
              <w:top w:w="60" w:type="dxa"/>
              <w:left w:w="100" w:type="dxa"/>
              <w:bottom w:w="60" w:type="dxa"/>
              <w:right w:w="100" w:type="dxa"/>
            </w:tcMar>
            <w:vAlign w:val="center"/>
          </w:tcPr>
          <w:p w14:paraId="5DCBBB34">
            <w:pPr>
              <w:spacing w:line="312" w:lineRule="auto"/>
            </w:pPr>
            <w:r>
              <w:rPr>
                <w:rFonts w:ascii="Times New Roman" w:eastAsia="宋体"/>
                <w:b w:val="0"/>
                <w:bCs w:val="0"/>
                <w:color w:val="182030"/>
                <w:sz w:val="21"/>
                <w:szCs w:val="21"/>
              </w:rPr>
              <w:t>分片、向量、实体、关系分别入库，建立全文与语义索引</w:t>
            </w:r>
          </w:p>
        </w:tc>
      </w:tr>
    </w:tbl>
    <w:p w14:paraId="0A6304DD">
      <w:pPr>
        <w:spacing w:before="60" w:after="240" w:line="312" w:lineRule="auto"/>
        <w:jc w:val="center"/>
      </w:pPr>
      <w:r>
        <w:rPr>
          <w:rFonts w:ascii="Times New Roman" w:eastAsia="宋体"/>
          <w:color w:val="606060"/>
          <w:sz w:val="21"/>
          <w:szCs w:val="21"/>
        </w:rPr>
        <w:t>表 4-1 知识库构建流程</w:t>
      </w:r>
    </w:p>
    <w:p w14:paraId="49A64914">
      <w:pPr>
        <w:pStyle w:val="3"/>
        <w:spacing w:before="280" w:after="120" w:line="345" w:lineRule="atLeast"/>
      </w:pPr>
      <w:bookmarkStart w:id="16" w:name="_Toc17"/>
      <w:r>
        <w:rPr>
          <w:rFonts w:ascii="Times New Roman" w:eastAsia="黑体"/>
          <w:b/>
          <w:bCs/>
          <w:color w:val="1284BA"/>
          <w:sz w:val="30"/>
          <w:szCs w:val="30"/>
        </w:rPr>
        <w:t>4.2 解析与降级策略</w:t>
      </w:r>
      <w:bookmarkEnd w:id="16"/>
    </w:p>
    <w:p w14:paraId="1A5E2E58">
      <w:pPr>
        <w:spacing w:after="60" w:line="312" w:lineRule="auto"/>
        <w:ind w:firstLine="480"/>
        <w:jc w:val="both"/>
      </w:pPr>
      <w:r>
        <w:rPr>
          <w:rFonts w:ascii="Times New Roman" w:eastAsia="宋体"/>
          <w:color w:val="182030"/>
          <w:sz w:val="24"/>
          <w:szCs w:val="24"/>
        </w:rPr>
        <w:t>解析质量直接决定知识库的可用性。平台在解析环节采用主备双通道设计：</w:t>
      </w:r>
    </w:p>
    <w:p w14:paraId="01A5E336">
      <w:pPr>
        <w:spacing w:after="60" w:line="312" w:lineRule="auto"/>
        <w:ind w:firstLine="480"/>
        <w:jc w:val="both"/>
      </w:pPr>
      <w:r>
        <w:rPr>
          <w:rFonts w:ascii="Times New Roman" w:eastAsia="宋体"/>
          <w:color w:val="182030"/>
          <w:sz w:val="24"/>
          <w:szCs w:val="24"/>
        </w:rPr>
        <w:t>主通道使用 MinerU 进行深度解析，能够识别文档的版面结构、表格与数学公式，输出带页码与位置的富结构片段。该通道依赖本地预置的模型权重，可完全离线运行。若解析命令不存在、依赖缺失、处于离线模式或解析超时，系统会自动切换到备用通道：Word 文档改用轻量库读取，PDF 改用文本抽取库处理。降级过程会记录日志并在文档记录中标注实际使用的解析后端，便于事后核查。</w:t>
      </w:r>
    </w:p>
    <w:p w14:paraId="1B68547A">
      <w:pPr>
        <w:spacing w:after="60" w:line="312" w:lineRule="auto"/>
        <w:ind w:firstLine="480"/>
        <w:jc w:val="both"/>
      </w:pPr>
      <w:r>
        <w:rPr>
          <w:rFonts w:ascii="Times New Roman" w:eastAsia="宋体"/>
          <w:color w:val="182030"/>
          <w:sz w:val="24"/>
          <w:szCs w:val="24"/>
        </w:rPr>
        <w:t>这种设计的意义在于，个别文件解析失败不会导致整批入库中断，民警的上传任务始终能得到明确结果。</w:t>
      </w:r>
    </w:p>
    <w:p w14:paraId="3D22E43B">
      <w:pPr>
        <w:pStyle w:val="3"/>
        <w:spacing w:before="280" w:after="120" w:line="345" w:lineRule="atLeast"/>
      </w:pPr>
      <w:bookmarkStart w:id="17" w:name="_Toc18"/>
      <w:r>
        <w:rPr>
          <w:rFonts w:ascii="Times New Roman" w:eastAsia="黑体"/>
          <w:b/>
          <w:bCs/>
          <w:color w:val="1284BA"/>
          <w:sz w:val="30"/>
          <w:szCs w:val="30"/>
        </w:rPr>
        <w:t>4.3 多路检索与结果融合</w:t>
      </w:r>
      <w:bookmarkEnd w:id="17"/>
    </w:p>
    <w:p w14:paraId="5447CB1B">
      <w:pPr>
        <w:spacing w:after="60" w:line="312" w:lineRule="auto"/>
        <w:ind w:firstLine="480"/>
        <w:jc w:val="both"/>
      </w:pPr>
      <w:r>
        <w:rPr>
          <w:rFonts w:ascii="Times New Roman" w:eastAsia="宋体"/>
          <w:color w:val="182030"/>
          <w:sz w:val="24"/>
          <w:szCs w:val="24"/>
        </w:rPr>
        <w:t>单一检索方式难以覆盖警务材料的多样性：有的事项只写在文件名里，有的需要精确关键词匹配，有的只能靠语义相似发现。平台因此建立了多路并行检索机制，再对结果进行加权融合：</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438"/>
        <w:gridCol w:w="3595"/>
        <w:gridCol w:w="2696"/>
        <w:gridCol w:w="1258"/>
      </w:tblGrid>
      <w:tr w14:paraId="68D751DC">
        <w:trPr>
          <w:cantSplit/>
          <w:tblHeader/>
        </w:trPr>
        <w:tc>
          <w:tcPr>
            <w:tcW w:w="800" w:type="pct"/>
            <w:shd w:val="clear" w:color="auto" w:fill="1284BA"/>
            <w:tcMar>
              <w:top w:w="60" w:type="dxa"/>
              <w:left w:w="100" w:type="dxa"/>
              <w:bottom w:w="60" w:type="dxa"/>
              <w:right w:w="100" w:type="dxa"/>
            </w:tcMar>
            <w:vAlign w:val="center"/>
          </w:tcPr>
          <w:p w14:paraId="1CB98F06">
            <w:pPr>
              <w:spacing w:line="312" w:lineRule="auto"/>
            </w:pPr>
            <w:r>
              <w:rPr>
                <w:rFonts w:ascii="Times New Roman" w:eastAsia="宋体"/>
                <w:b/>
                <w:bCs/>
                <w:color w:val="FFFFFF"/>
                <w:sz w:val="21"/>
                <w:szCs w:val="21"/>
              </w:rPr>
              <w:t>检索路径</w:t>
            </w:r>
          </w:p>
        </w:tc>
        <w:tc>
          <w:tcPr>
            <w:tcW w:w="2000" w:type="pct"/>
            <w:shd w:val="clear" w:color="auto" w:fill="1284BA"/>
            <w:tcMar>
              <w:top w:w="60" w:type="dxa"/>
              <w:left w:w="100" w:type="dxa"/>
              <w:bottom w:w="60" w:type="dxa"/>
              <w:right w:w="100" w:type="dxa"/>
            </w:tcMar>
            <w:vAlign w:val="center"/>
          </w:tcPr>
          <w:p w14:paraId="28DAC96C">
            <w:pPr>
              <w:spacing w:line="312" w:lineRule="auto"/>
            </w:pPr>
            <w:r>
              <w:rPr>
                <w:rFonts w:ascii="Times New Roman" w:eastAsia="宋体"/>
                <w:b/>
                <w:bCs/>
                <w:color w:val="FFFFFF"/>
                <w:sz w:val="21"/>
                <w:szCs w:val="21"/>
              </w:rPr>
              <w:t>实现方式</w:t>
            </w:r>
          </w:p>
        </w:tc>
        <w:tc>
          <w:tcPr>
            <w:tcW w:w="1500" w:type="pct"/>
            <w:shd w:val="clear" w:color="auto" w:fill="1284BA"/>
            <w:tcMar>
              <w:top w:w="60" w:type="dxa"/>
              <w:left w:w="100" w:type="dxa"/>
              <w:bottom w:w="60" w:type="dxa"/>
              <w:right w:w="100" w:type="dxa"/>
            </w:tcMar>
            <w:vAlign w:val="center"/>
          </w:tcPr>
          <w:p w14:paraId="6E055DBE">
            <w:pPr>
              <w:spacing w:line="312" w:lineRule="auto"/>
            </w:pPr>
            <w:r>
              <w:rPr>
                <w:rFonts w:ascii="Times New Roman" w:eastAsia="宋体"/>
                <w:b/>
                <w:bCs/>
                <w:color w:val="FFFFFF"/>
                <w:sz w:val="21"/>
                <w:szCs w:val="21"/>
              </w:rPr>
              <w:t>适用场景</w:t>
            </w:r>
          </w:p>
        </w:tc>
        <w:tc>
          <w:tcPr>
            <w:tcW w:w="700" w:type="pct"/>
            <w:shd w:val="clear" w:color="auto" w:fill="1284BA"/>
            <w:tcMar>
              <w:top w:w="60" w:type="dxa"/>
              <w:left w:w="100" w:type="dxa"/>
              <w:bottom w:w="60" w:type="dxa"/>
              <w:right w:w="100" w:type="dxa"/>
            </w:tcMar>
            <w:vAlign w:val="center"/>
          </w:tcPr>
          <w:p w14:paraId="2283D537">
            <w:pPr>
              <w:spacing w:line="312" w:lineRule="auto"/>
            </w:pPr>
            <w:r>
              <w:rPr>
                <w:rFonts w:ascii="Times New Roman" w:eastAsia="宋体"/>
                <w:b/>
                <w:bCs/>
                <w:color w:val="FFFFFF"/>
                <w:sz w:val="21"/>
                <w:szCs w:val="21"/>
              </w:rPr>
              <w:t>置信权重</w:t>
            </w:r>
          </w:p>
        </w:tc>
      </w:tr>
      <w:tr w14:paraId="4CF8F74D">
        <w:trPr>
          <w:cantSplit/>
        </w:trPr>
        <w:tc>
          <w:tcPr>
            <w:tcW w:w="800" w:type="pct"/>
            <w:tcMar>
              <w:top w:w="60" w:type="dxa"/>
              <w:left w:w="100" w:type="dxa"/>
              <w:bottom w:w="60" w:type="dxa"/>
              <w:right w:w="100" w:type="dxa"/>
            </w:tcMar>
            <w:vAlign w:val="center"/>
          </w:tcPr>
          <w:p w14:paraId="7FCB738D">
            <w:pPr>
              <w:spacing w:line="312" w:lineRule="auto"/>
            </w:pPr>
            <w:r>
              <w:rPr>
                <w:rFonts w:ascii="Times New Roman" w:eastAsia="宋体"/>
                <w:b w:val="0"/>
                <w:bCs w:val="0"/>
                <w:color w:val="182030"/>
                <w:sz w:val="21"/>
                <w:szCs w:val="21"/>
              </w:rPr>
              <w:t>全文检索</w:t>
            </w:r>
          </w:p>
        </w:tc>
        <w:tc>
          <w:tcPr>
            <w:tcW w:w="2000" w:type="pct"/>
            <w:tcMar>
              <w:top w:w="60" w:type="dxa"/>
              <w:left w:w="100" w:type="dxa"/>
              <w:bottom w:w="60" w:type="dxa"/>
              <w:right w:w="100" w:type="dxa"/>
            </w:tcMar>
            <w:vAlign w:val="center"/>
          </w:tcPr>
          <w:p w14:paraId="1EF8B00C">
            <w:pPr>
              <w:spacing w:line="312" w:lineRule="auto"/>
            </w:pPr>
            <w:r>
              <w:rPr>
                <w:rFonts w:ascii="Times New Roman" w:eastAsia="宋体"/>
                <w:b w:val="0"/>
                <w:bCs w:val="0"/>
                <w:color w:val="182030"/>
                <w:sz w:val="21"/>
                <w:szCs w:val="21"/>
              </w:rPr>
              <w:t>数据库全文索引与相关度排序</w:t>
            </w:r>
          </w:p>
        </w:tc>
        <w:tc>
          <w:tcPr>
            <w:tcW w:w="1500" w:type="pct"/>
            <w:tcMar>
              <w:top w:w="60" w:type="dxa"/>
              <w:left w:w="100" w:type="dxa"/>
              <w:bottom w:w="60" w:type="dxa"/>
              <w:right w:w="100" w:type="dxa"/>
            </w:tcMar>
            <w:vAlign w:val="center"/>
          </w:tcPr>
          <w:p w14:paraId="6B93BC73">
            <w:pPr>
              <w:spacing w:line="312" w:lineRule="auto"/>
            </w:pPr>
            <w:r>
              <w:rPr>
                <w:rFonts w:ascii="Times New Roman" w:eastAsia="宋体"/>
                <w:b w:val="0"/>
                <w:bCs w:val="0"/>
                <w:color w:val="182030"/>
                <w:sz w:val="21"/>
                <w:szCs w:val="21"/>
              </w:rPr>
              <w:t>正文中的术语、条款、表述</w:t>
            </w:r>
          </w:p>
        </w:tc>
        <w:tc>
          <w:tcPr>
            <w:tcW w:w="700" w:type="pct"/>
            <w:tcMar>
              <w:top w:w="60" w:type="dxa"/>
              <w:left w:w="100" w:type="dxa"/>
              <w:bottom w:w="60" w:type="dxa"/>
              <w:right w:w="100" w:type="dxa"/>
            </w:tcMar>
            <w:vAlign w:val="center"/>
          </w:tcPr>
          <w:p w14:paraId="2505C3F9">
            <w:pPr>
              <w:spacing w:line="312" w:lineRule="auto"/>
            </w:pPr>
            <w:r>
              <w:rPr>
                <w:rFonts w:ascii="Times New Roman" w:eastAsia="宋体"/>
                <w:b w:val="0"/>
                <w:bCs w:val="0"/>
                <w:color w:val="182030"/>
                <w:sz w:val="21"/>
                <w:szCs w:val="21"/>
              </w:rPr>
              <w:t>1.00</w:t>
            </w:r>
          </w:p>
        </w:tc>
      </w:tr>
      <w:tr w14:paraId="3845D063">
        <w:trPr>
          <w:cantSplit/>
        </w:trPr>
        <w:tc>
          <w:tcPr>
            <w:tcW w:w="800" w:type="pct"/>
            <w:tcMar>
              <w:top w:w="60" w:type="dxa"/>
              <w:left w:w="100" w:type="dxa"/>
              <w:bottom w:w="60" w:type="dxa"/>
              <w:right w:w="100" w:type="dxa"/>
            </w:tcMar>
            <w:vAlign w:val="center"/>
          </w:tcPr>
          <w:p w14:paraId="435814F0">
            <w:pPr>
              <w:spacing w:line="312" w:lineRule="auto"/>
            </w:pPr>
            <w:r>
              <w:rPr>
                <w:rFonts w:ascii="Times New Roman" w:eastAsia="宋体"/>
                <w:b w:val="0"/>
                <w:bCs w:val="0"/>
                <w:color w:val="182030"/>
                <w:sz w:val="21"/>
                <w:szCs w:val="21"/>
              </w:rPr>
              <w:t>文件名匹配</w:t>
            </w:r>
          </w:p>
        </w:tc>
        <w:tc>
          <w:tcPr>
            <w:tcW w:w="2000" w:type="pct"/>
            <w:tcMar>
              <w:top w:w="60" w:type="dxa"/>
              <w:left w:w="100" w:type="dxa"/>
              <w:bottom w:w="60" w:type="dxa"/>
              <w:right w:w="100" w:type="dxa"/>
            </w:tcMar>
            <w:vAlign w:val="center"/>
          </w:tcPr>
          <w:p w14:paraId="5A15D95A">
            <w:pPr>
              <w:spacing w:line="312" w:lineRule="auto"/>
            </w:pPr>
            <w:r>
              <w:rPr>
                <w:rFonts w:ascii="Times New Roman" w:eastAsia="宋体"/>
                <w:b w:val="0"/>
                <w:bCs w:val="0"/>
                <w:color w:val="182030"/>
                <w:sz w:val="21"/>
                <w:szCs w:val="21"/>
              </w:rPr>
              <w:t>按文件名做中文字符组合匹配</w:t>
            </w:r>
          </w:p>
        </w:tc>
        <w:tc>
          <w:tcPr>
            <w:tcW w:w="1500" w:type="pct"/>
            <w:tcMar>
              <w:top w:w="60" w:type="dxa"/>
              <w:left w:w="100" w:type="dxa"/>
              <w:bottom w:w="60" w:type="dxa"/>
              <w:right w:w="100" w:type="dxa"/>
            </w:tcMar>
            <w:vAlign w:val="center"/>
          </w:tcPr>
          <w:p w14:paraId="2E2416BA">
            <w:pPr>
              <w:spacing w:line="312" w:lineRule="auto"/>
            </w:pPr>
            <w:r>
              <w:rPr>
                <w:rFonts w:ascii="Times New Roman" w:eastAsia="宋体"/>
                <w:b w:val="0"/>
                <w:bCs w:val="0"/>
                <w:color w:val="182030"/>
                <w:sz w:val="21"/>
                <w:szCs w:val="21"/>
              </w:rPr>
              <w:t>版本号、编号、年份等只写在文件名中的信息</w:t>
            </w:r>
          </w:p>
        </w:tc>
        <w:tc>
          <w:tcPr>
            <w:tcW w:w="700" w:type="pct"/>
            <w:tcMar>
              <w:top w:w="60" w:type="dxa"/>
              <w:left w:w="100" w:type="dxa"/>
              <w:bottom w:w="60" w:type="dxa"/>
              <w:right w:w="100" w:type="dxa"/>
            </w:tcMar>
            <w:vAlign w:val="center"/>
          </w:tcPr>
          <w:p w14:paraId="2EBBDC2A">
            <w:pPr>
              <w:spacing w:line="312" w:lineRule="auto"/>
            </w:pPr>
            <w:r>
              <w:rPr>
                <w:rFonts w:ascii="Times New Roman" w:eastAsia="宋体"/>
                <w:b w:val="0"/>
                <w:bCs w:val="0"/>
                <w:color w:val="182030"/>
                <w:sz w:val="21"/>
                <w:szCs w:val="21"/>
              </w:rPr>
              <w:t>0.95</w:t>
            </w:r>
          </w:p>
        </w:tc>
      </w:tr>
      <w:tr w14:paraId="393F87A4">
        <w:trPr>
          <w:cantSplit/>
        </w:trPr>
        <w:tc>
          <w:tcPr>
            <w:tcW w:w="800" w:type="pct"/>
            <w:tcMar>
              <w:top w:w="60" w:type="dxa"/>
              <w:left w:w="100" w:type="dxa"/>
              <w:bottom w:w="60" w:type="dxa"/>
              <w:right w:w="100" w:type="dxa"/>
            </w:tcMar>
            <w:vAlign w:val="center"/>
          </w:tcPr>
          <w:p w14:paraId="42249676">
            <w:pPr>
              <w:spacing w:line="312" w:lineRule="auto"/>
            </w:pPr>
            <w:r>
              <w:rPr>
                <w:rFonts w:ascii="Times New Roman" w:eastAsia="宋体"/>
                <w:b w:val="0"/>
                <w:bCs w:val="0"/>
                <w:color w:val="182030"/>
                <w:sz w:val="21"/>
                <w:szCs w:val="21"/>
              </w:rPr>
              <w:t>关键词匹配</w:t>
            </w:r>
          </w:p>
        </w:tc>
        <w:tc>
          <w:tcPr>
            <w:tcW w:w="2000" w:type="pct"/>
            <w:tcMar>
              <w:top w:w="60" w:type="dxa"/>
              <w:left w:w="100" w:type="dxa"/>
              <w:bottom w:w="60" w:type="dxa"/>
              <w:right w:w="100" w:type="dxa"/>
            </w:tcMar>
            <w:vAlign w:val="center"/>
          </w:tcPr>
          <w:p w14:paraId="4C4F43B7">
            <w:pPr>
              <w:spacing w:line="312" w:lineRule="auto"/>
            </w:pPr>
            <w:r>
              <w:rPr>
                <w:rFonts w:ascii="Times New Roman" w:eastAsia="宋体"/>
                <w:b w:val="0"/>
                <w:bCs w:val="0"/>
                <w:color w:val="182030"/>
                <w:sz w:val="21"/>
                <w:szCs w:val="21"/>
              </w:rPr>
              <w:t>中文双字组合覆盖率打分</w:t>
            </w:r>
          </w:p>
        </w:tc>
        <w:tc>
          <w:tcPr>
            <w:tcW w:w="1500" w:type="pct"/>
            <w:tcMar>
              <w:top w:w="60" w:type="dxa"/>
              <w:left w:w="100" w:type="dxa"/>
              <w:bottom w:w="60" w:type="dxa"/>
              <w:right w:w="100" w:type="dxa"/>
            </w:tcMar>
            <w:vAlign w:val="center"/>
          </w:tcPr>
          <w:p w14:paraId="064629CB">
            <w:pPr>
              <w:spacing w:line="312" w:lineRule="auto"/>
            </w:pPr>
            <w:r>
              <w:rPr>
                <w:rFonts w:ascii="Times New Roman" w:eastAsia="宋体"/>
                <w:b w:val="0"/>
                <w:bCs w:val="0"/>
                <w:color w:val="182030"/>
                <w:sz w:val="21"/>
                <w:szCs w:val="21"/>
              </w:rPr>
              <w:t>中文分词不理想时的字面命中</w:t>
            </w:r>
          </w:p>
        </w:tc>
        <w:tc>
          <w:tcPr>
            <w:tcW w:w="700" w:type="pct"/>
            <w:tcMar>
              <w:top w:w="60" w:type="dxa"/>
              <w:left w:w="100" w:type="dxa"/>
              <w:bottom w:w="60" w:type="dxa"/>
              <w:right w:w="100" w:type="dxa"/>
            </w:tcMar>
            <w:vAlign w:val="center"/>
          </w:tcPr>
          <w:p w14:paraId="2CACB0D0">
            <w:pPr>
              <w:spacing w:line="312" w:lineRule="auto"/>
            </w:pPr>
            <w:r>
              <w:rPr>
                <w:rFonts w:ascii="Times New Roman" w:eastAsia="宋体"/>
                <w:b w:val="0"/>
                <w:bCs w:val="0"/>
                <w:color w:val="182030"/>
                <w:sz w:val="21"/>
                <w:szCs w:val="21"/>
              </w:rPr>
              <w:t>0.90</w:t>
            </w:r>
          </w:p>
        </w:tc>
      </w:tr>
      <w:tr w14:paraId="4550CED2">
        <w:trPr>
          <w:cantSplit/>
        </w:trPr>
        <w:tc>
          <w:tcPr>
            <w:tcW w:w="800" w:type="pct"/>
            <w:tcMar>
              <w:top w:w="60" w:type="dxa"/>
              <w:left w:w="100" w:type="dxa"/>
              <w:bottom w:w="60" w:type="dxa"/>
              <w:right w:w="100" w:type="dxa"/>
            </w:tcMar>
            <w:vAlign w:val="center"/>
          </w:tcPr>
          <w:p w14:paraId="1D2E8A14">
            <w:pPr>
              <w:spacing w:line="312" w:lineRule="auto"/>
            </w:pPr>
            <w:r>
              <w:rPr>
                <w:rFonts w:ascii="Times New Roman" w:eastAsia="宋体"/>
                <w:b w:val="0"/>
                <w:bCs w:val="0"/>
                <w:color w:val="182030"/>
                <w:sz w:val="21"/>
                <w:szCs w:val="21"/>
              </w:rPr>
              <w:t>语义相似</w:t>
            </w:r>
          </w:p>
        </w:tc>
        <w:tc>
          <w:tcPr>
            <w:tcW w:w="2000" w:type="pct"/>
            <w:tcMar>
              <w:top w:w="60" w:type="dxa"/>
              <w:left w:w="100" w:type="dxa"/>
              <w:bottom w:w="60" w:type="dxa"/>
              <w:right w:w="100" w:type="dxa"/>
            </w:tcMar>
            <w:vAlign w:val="center"/>
          </w:tcPr>
          <w:p w14:paraId="5466A968">
            <w:pPr>
              <w:spacing w:line="312" w:lineRule="auto"/>
            </w:pPr>
            <w:r>
              <w:rPr>
                <w:rFonts w:ascii="Times New Roman" w:eastAsia="宋体"/>
                <w:b w:val="0"/>
                <w:bCs w:val="0"/>
                <w:color w:val="182030"/>
                <w:sz w:val="21"/>
                <w:szCs w:val="21"/>
              </w:rPr>
              <w:t>向量近邻检索（数据库内完成，带向量索引）</w:t>
            </w:r>
          </w:p>
        </w:tc>
        <w:tc>
          <w:tcPr>
            <w:tcW w:w="1500" w:type="pct"/>
            <w:tcMar>
              <w:top w:w="60" w:type="dxa"/>
              <w:left w:w="100" w:type="dxa"/>
              <w:bottom w:w="60" w:type="dxa"/>
              <w:right w:w="100" w:type="dxa"/>
            </w:tcMar>
            <w:vAlign w:val="center"/>
          </w:tcPr>
          <w:p w14:paraId="491AAEE9">
            <w:pPr>
              <w:spacing w:line="312" w:lineRule="auto"/>
            </w:pPr>
            <w:r>
              <w:rPr>
                <w:rFonts w:ascii="Times New Roman" w:eastAsia="宋体"/>
                <w:b w:val="0"/>
                <w:bCs w:val="0"/>
                <w:color w:val="182030"/>
                <w:sz w:val="21"/>
                <w:szCs w:val="21"/>
              </w:rPr>
              <w:t>表述不同但含义相近的查询；与语料规模无关</w:t>
            </w:r>
          </w:p>
        </w:tc>
        <w:tc>
          <w:tcPr>
            <w:tcW w:w="700" w:type="pct"/>
            <w:tcMar>
              <w:top w:w="60" w:type="dxa"/>
              <w:left w:w="100" w:type="dxa"/>
              <w:bottom w:w="60" w:type="dxa"/>
              <w:right w:w="100" w:type="dxa"/>
            </w:tcMar>
            <w:vAlign w:val="center"/>
          </w:tcPr>
          <w:p w14:paraId="0E325E94">
            <w:pPr>
              <w:spacing w:line="312" w:lineRule="auto"/>
            </w:pPr>
            <w:r>
              <w:rPr>
                <w:rFonts w:ascii="Times New Roman" w:eastAsia="宋体"/>
                <w:b w:val="0"/>
                <w:bCs w:val="0"/>
                <w:color w:val="182030"/>
                <w:sz w:val="21"/>
                <w:szCs w:val="21"/>
              </w:rPr>
              <w:t>0.80</w:t>
            </w:r>
          </w:p>
        </w:tc>
      </w:tr>
      <w:tr w14:paraId="75E80D80">
        <w:trPr>
          <w:cantSplit/>
        </w:trPr>
        <w:tc>
          <w:tcPr>
            <w:tcW w:w="800" w:type="pct"/>
            <w:tcMar>
              <w:top w:w="60" w:type="dxa"/>
              <w:left w:w="100" w:type="dxa"/>
              <w:bottom w:w="60" w:type="dxa"/>
              <w:right w:w="100" w:type="dxa"/>
            </w:tcMar>
            <w:vAlign w:val="center"/>
          </w:tcPr>
          <w:p w14:paraId="1F76FD38">
            <w:pPr>
              <w:spacing w:line="312" w:lineRule="auto"/>
            </w:pPr>
            <w:r>
              <w:rPr>
                <w:rFonts w:ascii="Times New Roman" w:eastAsia="宋体"/>
                <w:b w:val="0"/>
                <w:bCs w:val="0"/>
                <w:color w:val="182030"/>
                <w:sz w:val="21"/>
                <w:szCs w:val="21"/>
              </w:rPr>
              <w:t>实体匹配</w:t>
            </w:r>
          </w:p>
        </w:tc>
        <w:tc>
          <w:tcPr>
            <w:tcW w:w="2000" w:type="pct"/>
            <w:tcMar>
              <w:top w:w="60" w:type="dxa"/>
              <w:left w:w="100" w:type="dxa"/>
              <w:bottom w:w="60" w:type="dxa"/>
              <w:right w:w="100" w:type="dxa"/>
            </w:tcMar>
            <w:vAlign w:val="center"/>
          </w:tcPr>
          <w:p w14:paraId="58630258">
            <w:pPr>
              <w:spacing w:line="312" w:lineRule="auto"/>
            </w:pPr>
            <w:r>
              <w:rPr>
                <w:rFonts w:ascii="Times New Roman" w:eastAsia="宋体"/>
                <w:b w:val="0"/>
                <w:bCs w:val="0"/>
                <w:color w:val="182030"/>
                <w:sz w:val="21"/>
                <w:szCs w:val="21"/>
              </w:rPr>
              <w:t>按实体名称关联相关分片</w:t>
            </w:r>
          </w:p>
        </w:tc>
        <w:tc>
          <w:tcPr>
            <w:tcW w:w="1500" w:type="pct"/>
            <w:tcMar>
              <w:top w:w="60" w:type="dxa"/>
              <w:left w:w="100" w:type="dxa"/>
              <w:bottom w:w="60" w:type="dxa"/>
              <w:right w:w="100" w:type="dxa"/>
            </w:tcMar>
            <w:vAlign w:val="center"/>
          </w:tcPr>
          <w:p w14:paraId="29257C97">
            <w:pPr>
              <w:spacing w:line="312" w:lineRule="auto"/>
            </w:pPr>
            <w:r>
              <w:rPr>
                <w:rFonts w:ascii="Times New Roman" w:eastAsia="宋体"/>
                <w:b w:val="0"/>
                <w:bCs w:val="0"/>
                <w:color w:val="182030"/>
                <w:sz w:val="21"/>
                <w:szCs w:val="21"/>
              </w:rPr>
              <w:t>人名、地点、物品等实体的上下文</w:t>
            </w:r>
          </w:p>
        </w:tc>
        <w:tc>
          <w:tcPr>
            <w:tcW w:w="700" w:type="pct"/>
            <w:tcMar>
              <w:top w:w="60" w:type="dxa"/>
              <w:left w:w="100" w:type="dxa"/>
              <w:bottom w:w="60" w:type="dxa"/>
              <w:right w:w="100" w:type="dxa"/>
            </w:tcMar>
            <w:vAlign w:val="center"/>
          </w:tcPr>
          <w:p w14:paraId="57963C8F">
            <w:pPr>
              <w:spacing w:line="312" w:lineRule="auto"/>
            </w:pPr>
            <w:r>
              <w:rPr>
                <w:rFonts w:ascii="Times New Roman" w:eastAsia="宋体"/>
                <w:b w:val="0"/>
                <w:bCs w:val="0"/>
                <w:color w:val="182030"/>
                <w:sz w:val="21"/>
                <w:szCs w:val="21"/>
              </w:rPr>
              <w:t>0.70</w:t>
            </w:r>
          </w:p>
        </w:tc>
      </w:tr>
      <w:tr w14:paraId="1C717651">
        <w:trPr>
          <w:cantSplit/>
        </w:trPr>
        <w:tc>
          <w:tcPr>
            <w:tcW w:w="800" w:type="pct"/>
            <w:tcMar>
              <w:top w:w="60" w:type="dxa"/>
              <w:left w:w="100" w:type="dxa"/>
              <w:bottom w:w="60" w:type="dxa"/>
              <w:right w:w="100" w:type="dxa"/>
            </w:tcMar>
            <w:vAlign w:val="center"/>
          </w:tcPr>
          <w:p w14:paraId="71B0DB77">
            <w:pPr>
              <w:spacing w:line="312" w:lineRule="auto"/>
            </w:pPr>
            <w:r>
              <w:rPr>
                <w:rFonts w:ascii="Times New Roman" w:eastAsia="宋体"/>
                <w:b w:val="0"/>
                <w:bCs w:val="0"/>
                <w:color w:val="182030"/>
                <w:sz w:val="21"/>
                <w:szCs w:val="21"/>
              </w:rPr>
              <w:t>知识图谱</w:t>
            </w:r>
          </w:p>
        </w:tc>
        <w:tc>
          <w:tcPr>
            <w:tcW w:w="2000" w:type="pct"/>
            <w:tcMar>
              <w:top w:w="60" w:type="dxa"/>
              <w:left w:w="100" w:type="dxa"/>
              <w:bottom w:w="60" w:type="dxa"/>
              <w:right w:w="100" w:type="dxa"/>
            </w:tcMar>
            <w:vAlign w:val="center"/>
          </w:tcPr>
          <w:p w14:paraId="787DBA58">
            <w:pPr>
              <w:spacing w:line="312" w:lineRule="auto"/>
            </w:pPr>
            <w:r>
              <w:rPr>
                <w:rFonts w:ascii="Times New Roman" w:eastAsia="宋体"/>
                <w:b w:val="0"/>
                <w:bCs w:val="0"/>
                <w:color w:val="182030"/>
                <w:sz w:val="21"/>
                <w:szCs w:val="21"/>
              </w:rPr>
              <w:t>图谱路径检索</w:t>
            </w:r>
          </w:p>
        </w:tc>
        <w:tc>
          <w:tcPr>
            <w:tcW w:w="1500" w:type="pct"/>
            <w:tcMar>
              <w:top w:w="60" w:type="dxa"/>
              <w:left w:w="100" w:type="dxa"/>
              <w:bottom w:w="60" w:type="dxa"/>
              <w:right w:w="100" w:type="dxa"/>
            </w:tcMar>
            <w:vAlign w:val="center"/>
          </w:tcPr>
          <w:p w14:paraId="3F074AEC">
            <w:pPr>
              <w:spacing w:line="312" w:lineRule="auto"/>
            </w:pPr>
            <w:r>
              <w:rPr>
                <w:rFonts w:ascii="Times New Roman" w:eastAsia="宋体"/>
                <w:b w:val="0"/>
                <w:bCs w:val="0"/>
                <w:color w:val="182030"/>
                <w:sz w:val="21"/>
                <w:szCs w:val="21"/>
              </w:rPr>
              <w:t>跨文档的多跳关联</w:t>
            </w:r>
          </w:p>
        </w:tc>
        <w:tc>
          <w:tcPr>
            <w:tcW w:w="700" w:type="pct"/>
            <w:tcMar>
              <w:top w:w="60" w:type="dxa"/>
              <w:left w:w="100" w:type="dxa"/>
              <w:bottom w:w="60" w:type="dxa"/>
              <w:right w:w="100" w:type="dxa"/>
            </w:tcMar>
            <w:vAlign w:val="center"/>
          </w:tcPr>
          <w:p w14:paraId="3473AAB6">
            <w:pPr>
              <w:spacing w:line="312" w:lineRule="auto"/>
            </w:pPr>
            <w:r>
              <w:rPr>
                <w:rFonts w:ascii="Times New Roman" w:eastAsia="宋体"/>
                <w:b w:val="0"/>
                <w:bCs w:val="0"/>
                <w:color w:val="182030"/>
                <w:sz w:val="21"/>
                <w:szCs w:val="21"/>
              </w:rPr>
              <w:t>预留配额</w:t>
            </w:r>
          </w:p>
        </w:tc>
      </w:tr>
    </w:tbl>
    <w:p w14:paraId="461193F0">
      <w:pPr>
        <w:spacing w:before="60" w:after="240" w:line="312" w:lineRule="auto"/>
        <w:jc w:val="center"/>
      </w:pPr>
      <w:r>
        <w:rPr>
          <w:rFonts w:ascii="Times New Roman" w:eastAsia="宋体"/>
          <w:color w:val="606060"/>
          <w:sz w:val="21"/>
          <w:szCs w:val="21"/>
        </w:rPr>
        <w:t>表 4-2 多路检索路径与权重</w:t>
      </w:r>
    </w:p>
    <w:p w14:paraId="099BACED">
      <w:pPr>
        <w:spacing w:after="60" w:line="312" w:lineRule="auto"/>
        <w:ind w:firstLine="480"/>
        <w:jc w:val="both"/>
      </w:pPr>
      <w:r>
        <w:rPr>
          <w:rFonts w:ascii="Times New Roman" w:eastAsia="宋体"/>
          <w:color w:val="182030"/>
          <w:sz w:val="24"/>
          <w:szCs w:val="24"/>
        </w:rPr>
        <w:t>融合时，同一分片被多条路径命中的情况会合并其命中原因并取较高分值；命中来源越多，综合置信度越高。语义检索设置了相关性地板，低于阈值的语义结果会被丢弃，避免把语义上无关的内容当作证据送入模型，这一点对中文材料尤为重要。知识图谱结果按配额保留，仅在已有本地命中时补充，防止图谱噪声改变回答方向。</w:t>
      </w:r>
    </w:p>
    <w:p w14:paraId="66BF8E69">
      <w:pPr>
        <w:spacing w:after="60" w:line="312" w:lineRule="auto"/>
        <w:ind w:firstLine="480"/>
        <w:jc w:val="both"/>
      </w:pPr>
      <w:r>
        <w:rPr>
          <w:rFonts w:ascii="Times New Roman" w:eastAsia="宋体"/>
          <w:color w:val="182030"/>
          <w:sz w:val="24"/>
          <w:szCs w:val="24"/>
        </w:rPr>
        <w:t>语义检索在数据库内完成：向量与其索引都存放在数据库中，由数据库执行近邻检索，应用只取回结果。因此检索延迟与内存占用都不随语料规模增长。</w:t>
      </w:r>
    </w:p>
    <w:p w14:paraId="7965E7B6">
      <w:pPr>
        <w:pStyle w:val="3"/>
        <w:spacing w:before="280" w:after="120" w:line="345" w:lineRule="atLeast"/>
      </w:pPr>
      <w:bookmarkStart w:id="18" w:name="_Toc19"/>
      <w:r>
        <w:rPr>
          <w:rFonts w:ascii="Times New Roman" w:eastAsia="黑体"/>
          <w:b/>
          <w:bCs/>
          <w:color w:val="1284BA"/>
          <w:sz w:val="30"/>
          <w:szCs w:val="30"/>
        </w:rPr>
        <w:t>4.4 处理任务与失败重试</w:t>
      </w:r>
      <w:bookmarkEnd w:id="18"/>
    </w:p>
    <w:p w14:paraId="55DDF09E">
      <w:pPr>
        <w:spacing w:after="60" w:line="312" w:lineRule="auto"/>
        <w:ind w:firstLine="480"/>
        <w:jc w:val="both"/>
      </w:pPr>
      <w:r>
        <w:rPr>
          <w:rFonts w:ascii="Times New Roman" w:eastAsia="宋体"/>
          <w:color w:val="182030"/>
          <w:sz w:val="24"/>
          <w:szCs w:val="24"/>
        </w:rPr>
        <w:t>每个文档的处理过程被建模为一个可追踪的任务，具有排队、处理中、已完成、失败四种状态。任务由独立的后台工作进程消费，采用数据库行级锁的抢占方式分发，保证多个工作进程并发运行时同一任务不会被重复处理。</w:t>
      </w:r>
    </w:p>
    <w:p w14:paraId="7EEE8E75">
      <w:pPr>
        <w:spacing w:after="60" w:line="312" w:lineRule="auto"/>
        <w:ind w:firstLine="480"/>
        <w:jc w:val="both"/>
      </w:pPr>
      <w:r>
        <w:rPr>
          <w:rFonts w:ascii="Times New Roman" w:eastAsia="宋体"/>
          <w:color w:val="182030"/>
          <w:sz w:val="24"/>
          <w:szCs w:val="24"/>
        </w:rPr>
        <w:t>处理过程中，任务会分阶段上报进度，依次经过解析、图像理解、实体抽取、向量化、入库、图谱构建等环节，前端可以实时看到当前进行到哪一步。若某个环节失败，任务会记录错误摘要与日志片段并在下一次重试时重新入队；再重试三次仍失败的任务标记为最终失败，民警可下载日志片段定位原因。服务重启时，处于处理中状态的残留任务会自动重置并重新排队，避免永久卡死。</w:t>
      </w:r>
    </w:p>
    <w:p w14:paraId="3079DEC5">
      <w:pPr>
        <w:spacing w:after="60" w:line="312" w:lineRule="auto"/>
        <w:ind w:firstLine="480"/>
        <w:jc w:val="both"/>
      </w:pPr>
      <w:r>
        <w:rPr>
          <w:rFonts w:ascii="Times New Roman" w:eastAsia="宋体"/>
          <w:color w:val="182030"/>
          <w:sz w:val="24"/>
          <w:szCs w:val="24"/>
        </w:rPr>
        <w:t>多副本部署时另有归属保护：任务在领取时记录所属工作进程，只有该进程的心跳确认失效后，其它副本才会接管其遗留任务，避免一个副本重启就把另一个副本正在解析的任务抢走。</w:t>
      </w:r>
    </w:p>
    <w:p w14:paraId="645C4DC9">
      <w:pPr>
        <w:pStyle w:val="3"/>
        <w:spacing w:before="280" w:after="120" w:line="345" w:lineRule="atLeast"/>
      </w:pPr>
      <w:bookmarkStart w:id="19" w:name="_Toc20"/>
      <w:r>
        <w:rPr>
          <w:rFonts w:ascii="Times New Roman" w:eastAsia="黑体"/>
          <w:b/>
          <w:bCs/>
          <w:color w:val="1284BA"/>
          <w:sz w:val="30"/>
          <w:szCs w:val="30"/>
        </w:rPr>
        <w:t>4.5 知识图谱的多租户存储</w:t>
      </w:r>
      <w:bookmarkEnd w:id="19"/>
    </w:p>
    <w:p w14:paraId="14B60A1E">
      <w:pPr>
        <w:spacing w:after="60" w:line="312" w:lineRule="auto"/>
        <w:ind w:firstLine="480"/>
        <w:jc w:val="both"/>
      </w:pPr>
      <w:r>
        <w:rPr>
          <w:rFonts w:ascii="Times New Roman" w:eastAsia="宋体"/>
          <w:color w:val="182030"/>
          <w:sz w:val="24"/>
          <w:szCs w:val="24"/>
        </w:rPr>
        <w:t>图谱数据同样按案件隔离：每个案件对应一个独立的图谱工作区，实体与关系按工作区划分，读写都带工作区条件，因此不同案件的图谱在存储层就互不可见，而不是取回之后再过滤。</w:t>
      </w:r>
    </w:p>
    <w:p w14:paraId="561D462D">
      <w:pPr>
        <w:spacing w:after="60" w:line="312" w:lineRule="auto"/>
        <w:ind w:firstLine="480"/>
        <w:jc w:val="both"/>
      </w:pPr>
      <w:r>
        <w:rPr>
          <w:rFonts w:ascii="Times New Roman" w:eastAsia="宋体"/>
          <w:color w:val="182030"/>
          <w:sz w:val="24"/>
          <w:szCs w:val="24"/>
        </w:rPr>
        <w:t>该能力按部署需要启用：未启用时图谱在案件之间共享；启用后既有图谱需按案件重建，属可预期的运维动作。</w:t>
      </w:r>
    </w:p>
    <w:p w14:paraId="357C3A0A">
      <w:pPr>
        <w:pStyle w:val="2"/>
        <w:pageBreakBefore/>
        <w:spacing w:before="360" w:after="160" w:line="368" w:lineRule="atLeast"/>
      </w:pPr>
      <w:bookmarkStart w:id="20" w:name="_Toc21"/>
      <w:r>
        <w:rPr>
          <w:rFonts w:ascii="Times New Roman" w:eastAsia="黑体"/>
          <w:b/>
          <w:bCs/>
          <w:color w:val="1284BA"/>
          <w:sz w:val="32"/>
          <w:szCs w:val="32"/>
        </w:rPr>
        <w:t>五、智能体与知识库的协同运转</w:t>
      </w:r>
      <w:bookmarkEnd w:id="20"/>
    </w:p>
    <w:p w14:paraId="708E0F7A">
      <w:pPr>
        <w:pStyle w:val="3"/>
        <w:spacing w:before="280" w:after="120" w:line="345" w:lineRule="atLeast"/>
      </w:pPr>
      <w:bookmarkStart w:id="21" w:name="_Toc22"/>
      <w:r>
        <w:rPr>
          <w:rFonts w:ascii="Times New Roman" w:eastAsia="黑体"/>
          <w:b/>
          <w:bCs/>
          <w:color w:val="1284BA"/>
          <w:sz w:val="30"/>
          <w:szCs w:val="30"/>
        </w:rPr>
        <w:t>5.1 两种结合方式</w:t>
      </w:r>
      <w:bookmarkEnd w:id="21"/>
    </w:p>
    <w:p w14:paraId="647757DD">
      <w:pPr>
        <w:spacing w:after="60" w:line="312" w:lineRule="auto"/>
        <w:ind w:firstLine="480"/>
        <w:jc w:val="both"/>
      </w:pPr>
      <w:r>
        <w:rPr>
          <w:rFonts w:ascii="Times New Roman" w:eastAsia="宋体"/>
          <w:color w:val="182030"/>
          <w:sz w:val="24"/>
          <w:szCs w:val="24"/>
        </w:rPr>
        <w:t>知识库不是被动等待查询的仓库，而是以两种方式主动参与对话，分别对应不同的使用场景：</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438"/>
        <w:gridCol w:w="2157"/>
        <w:gridCol w:w="3056"/>
        <w:gridCol w:w="2337"/>
      </w:tblGrid>
      <w:tr w14:paraId="33B707D4">
        <w:trPr>
          <w:cantSplit/>
          <w:tblHeader/>
        </w:trPr>
        <w:tc>
          <w:tcPr>
            <w:tcW w:w="800" w:type="pct"/>
            <w:shd w:val="clear" w:color="auto" w:fill="1284BA"/>
            <w:tcMar>
              <w:top w:w="60" w:type="dxa"/>
              <w:left w:w="100" w:type="dxa"/>
              <w:bottom w:w="60" w:type="dxa"/>
              <w:right w:w="100" w:type="dxa"/>
            </w:tcMar>
            <w:vAlign w:val="center"/>
          </w:tcPr>
          <w:p w14:paraId="2DA6F0CD">
            <w:pPr>
              <w:spacing w:line="312" w:lineRule="auto"/>
            </w:pPr>
            <w:r>
              <w:rPr>
                <w:rFonts w:ascii="Times New Roman" w:eastAsia="宋体"/>
                <w:b/>
                <w:bCs/>
                <w:color w:val="FFFFFF"/>
                <w:sz w:val="21"/>
                <w:szCs w:val="21"/>
              </w:rPr>
              <w:t>方式</w:t>
            </w:r>
          </w:p>
        </w:tc>
        <w:tc>
          <w:tcPr>
            <w:tcW w:w="1200" w:type="pct"/>
            <w:shd w:val="clear" w:color="auto" w:fill="1284BA"/>
            <w:tcMar>
              <w:top w:w="60" w:type="dxa"/>
              <w:left w:w="100" w:type="dxa"/>
              <w:bottom w:w="60" w:type="dxa"/>
              <w:right w:w="100" w:type="dxa"/>
            </w:tcMar>
            <w:vAlign w:val="center"/>
          </w:tcPr>
          <w:p w14:paraId="7DB0D27C">
            <w:pPr>
              <w:spacing w:line="312" w:lineRule="auto"/>
            </w:pPr>
            <w:r>
              <w:rPr>
                <w:rFonts w:ascii="Times New Roman" w:eastAsia="宋体"/>
                <w:b/>
                <w:bCs/>
                <w:color w:val="FFFFFF"/>
                <w:sz w:val="21"/>
                <w:szCs w:val="21"/>
              </w:rPr>
              <w:t>触发条件</w:t>
            </w:r>
          </w:p>
        </w:tc>
        <w:tc>
          <w:tcPr>
            <w:tcW w:w="1700" w:type="pct"/>
            <w:shd w:val="clear" w:color="auto" w:fill="1284BA"/>
            <w:tcMar>
              <w:top w:w="60" w:type="dxa"/>
              <w:left w:w="100" w:type="dxa"/>
              <w:bottom w:w="60" w:type="dxa"/>
              <w:right w:w="100" w:type="dxa"/>
            </w:tcMar>
            <w:vAlign w:val="center"/>
          </w:tcPr>
          <w:p w14:paraId="0575A8DC">
            <w:pPr>
              <w:spacing w:line="312" w:lineRule="auto"/>
            </w:pPr>
            <w:r>
              <w:rPr>
                <w:rFonts w:ascii="Times New Roman" w:eastAsia="宋体"/>
                <w:b/>
                <w:bCs/>
                <w:color w:val="FFFFFF"/>
                <w:sz w:val="21"/>
                <w:szCs w:val="21"/>
              </w:rPr>
              <w:t>工作方式</w:t>
            </w:r>
          </w:p>
        </w:tc>
        <w:tc>
          <w:tcPr>
            <w:tcW w:w="1300" w:type="pct"/>
            <w:shd w:val="clear" w:color="auto" w:fill="1284BA"/>
            <w:tcMar>
              <w:top w:w="60" w:type="dxa"/>
              <w:left w:w="100" w:type="dxa"/>
              <w:bottom w:w="60" w:type="dxa"/>
              <w:right w:w="100" w:type="dxa"/>
            </w:tcMar>
            <w:vAlign w:val="center"/>
          </w:tcPr>
          <w:p w14:paraId="0AF7CC2A">
            <w:pPr>
              <w:spacing w:line="312" w:lineRule="auto"/>
            </w:pPr>
            <w:r>
              <w:rPr>
                <w:rFonts w:ascii="Times New Roman" w:eastAsia="宋体"/>
                <w:b/>
                <w:bCs/>
                <w:color w:val="FFFFFF"/>
                <w:sz w:val="21"/>
                <w:szCs w:val="21"/>
              </w:rPr>
              <w:t>适用场景</w:t>
            </w:r>
          </w:p>
        </w:tc>
      </w:tr>
      <w:tr w14:paraId="3C37D0A4">
        <w:trPr>
          <w:cantSplit/>
        </w:trPr>
        <w:tc>
          <w:tcPr>
            <w:tcW w:w="800" w:type="pct"/>
            <w:tcMar>
              <w:top w:w="60" w:type="dxa"/>
              <w:left w:w="100" w:type="dxa"/>
              <w:bottom w:w="60" w:type="dxa"/>
              <w:right w:w="100" w:type="dxa"/>
            </w:tcMar>
            <w:vAlign w:val="center"/>
          </w:tcPr>
          <w:p w14:paraId="66E5CC20">
            <w:pPr>
              <w:spacing w:line="312" w:lineRule="auto"/>
            </w:pPr>
            <w:r>
              <w:rPr>
                <w:rFonts w:ascii="Times New Roman" w:eastAsia="宋体"/>
                <w:b w:val="0"/>
                <w:bCs w:val="0"/>
                <w:color w:val="182030"/>
                <w:sz w:val="21"/>
                <w:szCs w:val="21"/>
              </w:rPr>
              <w:t>自动注入</w:t>
            </w:r>
          </w:p>
        </w:tc>
        <w:tc>
          <w:tcPr>
            <w:tcW w:w="1200" w:type="pct"/>
            <w:tcMar>
              <w:top w:w="60" w:type="dxa"/>
              <w:left w:w="100" w:type="dxa"/>
              <w:bottom w:w="60" w:type="dxa"/>
              <w:right w:w="100" w:type="dxa"/>
            </w:tcMar>
            <w:vAlign w:val="center"/>
          </w:tcPr>
          <w:p w14:paraId="5BB4BCCB">
            <w:pPr>
              <w:spacing w:line="312" w:lineRule="auto"/>
            </w:pPr>
            <w:r>
              <w:rPr>
                <w:rFonts w:ascii="Times New Roman" w:eastAsia="宋体"/>
                <w:b w:val="0"/>
                <w:bCs w:val="0"/>
                <w:color w:val="182030"/>
                <w:sz w:val="21"/>
                <w:szCs w:val="21"/>
              </w:rPr>
              <w:t>提出问题后自动执行</w:t>
            </w:r>
          </w:p>
        </w:tc>
        <w:tc>
          <w:tcPr>
            <w:tcW w:w="1700" w:type="pct"/>
            <w:tcMar>
              <w:top w:w="60" w:type="dxa"/>
              <w:left w:w="100" w:type="dxa"/>
              <w:bottom w:w="60" w:type="dxa"/>
              <w:right w:w="100" w:type="dxa"/>
            </w:tcMar>
            <w:vAlign w:val="center"/>
          </w:tcPr>
          <w:p w14:paraId="7E04E14A">
            <w:pPr>
              <w:spacing w:line="312" w:lineRule="auto"/>
            </w:pPr>
            <w:r>
              <w:rPr>
                <w:rFonts w:ascii="Times New Roman" w:eastAsia="宋体"/>
                <w:b w:val="0"/>
                <w:bCs w:val="0"/>
                <w:color w:val="182030"/>
                <w:sz w:val="21"/>
                <w:szCs w:val="21"/>
              </w:rPr>
              <w:t>系统在模型推理前检索知识库，把命中的资料片段作为背景信息插入本轮推理</w:t>
            </w:r>
          </w:p>
        </w:tc>
        <w:tc>
          <w:tcPr>
            <w:tcW w:w="1300" w:type="pct"/>
            <w:tcMar>
              <w:top w:w="60" w:type="dxa"/>
              <w:left w:w="100" w:type="dxa"/>
              <w:bottom w:w="60" w:type="dxa"/>
              <w:right w:w="100" w:type="dxa"/>
            </w:tcMar>
            <w:vAlign w:val="center"/>
          </w:tcPr>
          <w:p w14:paraId="5BB6B443">
            <w:pPr>
              <w:spacing w:line="312" w:lineRule="auto"/>
            </w:pPr>
            <w:r>
              <w:rPr>
                <w:rFonts w:ascii="Times New Roman" w:eastAsia="宋体"/>
                <w:b w:val="0"/>
                <w:bCs w:val="0"/>
                <w:color w:val="182030"/>
                <w:sz w:val="21"/>
                <w:szCs w:val="21"/>
              </w:rPr>
              <w:t>民警并未明确要求查资料，但问题涉及制度或既有材料</w:t>
            </w:r>
          </w:p>
        </w:tc>
      </w:tr>
      <w:tr w14:paraId="1E171B52">
        <w:trPr>
          <w:cantSplit/>
        </w:trPr>
        <w:tc>
          <w:tcPr>
            <w:tcW w:w="800" w:type="pct"/>
            <w:tcMar>
              <w:top w:w="60" w:type="dxa"/>
              <w:left w:w="100" w:type="dxa"/>
              <w:bottom w:w="60" w:type="dxa"/>
              <w:right w:w="100" w:type="dxa"/>
            </w:tcMar>
            <w:vAlign w:val="center"/>
          </w:tcPr>
          <w:p w14:paraId="357FFBDA">
            <w:pPr>
              <w:spacing w:line="312" w:lineRule="auto"/>
            </w:pPr>
            <w:r>
              <w:rPr>
                <w:rFonts w:ascii="Times New Roman" w:eastAsia="宋体"/>
                <w:b w:val="0"/>
                <w:bCs w:val="0"/>
                <w:color w:val="182030"/>
                <w:sz w:val="21"/>
                <w:szCs w:val="21"/>
              </w:rPr>
              <w:t>主动检索</w:t>
            </w:r>
          </w:p>
        </w:tc>
        <w:tc>
          <w:tcPr>
            <w:tcW w:w="1200" w:type="pct"/>
            <w:tcMar>
              <w:top w:w="60" w:type="dxa"/>
              <w:left w:w="100" w:type="dxa"/>
              <w:bottom w:w="60" w:type="dxa"/>
              <w:right w:w="100" w:type="dxa"/>
            </w:tcMar>
            <w:vAlign w:val="center"/>
          </w:tcPr>
          <w:p w14:paraId="4DD99A5E">
            <w:pPr>
              <w:spacing w:line="312" w:lineRule="auto"/>
            </w:pPr>
            <w:r>
              <w:rPr>
                <w:rFonts w:ascii="Times New Roman" w:eastAsia="宋体"/>
                <w:b w:val="0"/>
                <w:bCs w:val="0"/>
                <w:color w:val="182030"/>
                <w:sz w:val="21"/>
                <w:szCs w:val="21"/>
              </w:rPr>
              <w:t>由模型判断需要时调用</w:t>
            </w:r>
          </w:p>
        </w:tc>
        <w:tc>
          <w:tcPr>
            <w:tcW w:w="1700" w:type="pct"/>
            <w:tcMar>
              <w:top w:w="60" w:type="dxa"/>
              <w:left w:w="100" w:type="dxa"/>
              <w:bottom w:w="60" w:type="dxa"/>
              <w:right w:w="100" w:type="dxa"/>
            </w:tcMar>
            <w:vAlign w:val="center"/>
          </w:tcPr>
          <w:p w14:paraId="68459FEF">
            <w:pPr>
              <w:spacing w:line="312" w:lineRule="auto"/>
            </w:pPr>
            <w:r>
              <w:rPr>
                <w:rFonts w:ascii="Times New Roman" w:eastAsia="宋体"/>
                <w:b w:val="0"/>
                <w:bCs w:val="0"/>
                <w:color w:val="182030"/>
                <w:sz w:val="21"/>
                <w:szCs w:val="21"/>
              </w:rPr>
              <w:t>模型调用知识检索工具，指定关键词与知识空间，获取证据后继续推理，必要时再读取文档详情</w:t>
            </w:r>
          </w:p>
        </w:tc>
        <w:tc>
          <w:tcPr>
            <w:tcW w:w="1300" w:type="pct"/>
            <w:tcMar>
              <w:top w:w="60" w:type="dxa"/>
              <w:left w:w="100" w:type="dxa"/>
              <w:bottom w:w="60" w:type="dxa"/>
              <w:right w:w="100" w:type="dxa"/>
            </w:tcMar>
            <w:vAlign w:val="center"/>
          </w:tcPr>
          <w:p w14:paraId="6CFE7CFD">
            <w:pPr>
              <w:spacing w:line="312" w:lineRule="auto"/>
            </w:pPr>
            <w:r>
              <w:rPr>
                <w:rFonts w:ascii="Times New Roman" w:eastAsia="宋体"/>
                <w:b w:val="0"/>
                <w:bCs w:val="0"/>
                <w:color w:val="182030"/>
                <w:sz w:val="21"/>
                <w:szCs w:val="21"/>
              </w:rPr>
              <w:t>需要精确定位某份材料、或需要展开查看原文细节</w:t>
            </w:r>
          </w:p>
        </w:tc>
      </w:tr>
    </w:tbl>
    <w:p w14:paraId="2BD856BA">
      <w:pPr>
        <w:spacing w:before="60" w:after="240" w:line="312" w:lineRule="auto"/>
        <w:jc w:val="center"/>
      </w:pPr>
      <w:r>
        <w:rPr>
          <w:rFonts w:ascii="Times New Roman" w:eastAsia="宋体"/>
          <w:color w:val="606060"/>
          <w:sz w:val="21"/>
          <w:szCs w:val="21"/>
        </w:rPr>
        <w:t>表 5-1 知识库参与的两种方式</w:t>
      </w:r>
    </w:p>
    <w:p w14:paraId="685C49D9">
      <w:pPr>
        <w:spacing w:after="60" w:line="312" w:lineRule="auto"/>
        <w:ind w:firstLine="480"/>
        <w:jc w:val="both"/>
      </w:pPr>
      <w:r>
        <w:rPr>
          <w:rFonts w:ascii="Times New Roman" w:eastAsia="宋体"/>
          <w:color w:val="182030"/>
          <w:sz w:val="24"/>
          <w:szCs w:val="24"/>
        </w:rPr>
        <w:t>自动注入解决的是不知道有资料可查的问题，主动检索解决的是需要深挖细节的问题。两者配合，使模型既有背景知识又有追查能力。</w:t>
      </w:r>
    </w:p>
    <w:p w14:paraId="5AE5DD4D">
      <w:pPr>
        <w:pStyle w:val="3"/>
        <w:spacing w:before="280" w:after="120" w:line="345" w:lineRule="atLeast"/>
      </w:pPr>
      <w:bookmarkStart w:id="22" w:name="_Toc23"/>
      <w:r>
        <w:rPr>
          <w:rFonts w:ascii="Times New Roman" w:eastAsia="黑体"/>
          <w:b/>
          <w:bCs/>
          <w:color w:val="1284BA"/>
          <w:sz w:val="30"/>
          <w:szCs w:val="30"/>
        </w:rPr>
        <w:t>5.2 自动注入的工作细节</w:t>
      </w:r>
      <w:bookmarkEnd w:id="22"/>
    </w:p>
    <w:p w14:paraId="76472CB9">
      <w:pPr>
        <w:spacing w:after="60" w:line="312" w:lineRule="auto"/>
        <w:ind w:firstLine="480"/>
        <w:jc w:val="both"/>
      </w:pPr>
      <w:r>
        <w:rPr>
          <w:rFonts w:ascii="Times New Roman" w:eastAsia="宋体"/>
          <w:color w:val="182030"/>
          <w:sz w:val="24"/>
          <w:szCs w:val="24"/>
        </w:rPr>
        <w:t>自动注入在每次推理前执行，其行为经过刻意约束，以避免检索结果干扰正常对话：</w:t>
      </w:r>
    </w:p>
    <w:p w14:paraId="75A5C0E9">
      <w:pPr>
        <w:spacing w:after="40" w:line="312" w:lineRule="auto"/>
        <w:ind w:left="480" w:hanging="240"/>
        <w:jc w:val="both"/>
      </w:pPr>
      <w:r>
        <w:rPr>
          <w:rFonts w:ascii="Times New Roman" w:eastAsia="宋体"/>
          <w:color w:val="182030"/>
          <w:sz w:val="24"/>
          <w:szCs w:val="24"/>
        </w:rPr>
        <w:t>· 以当前问题作为检索词，逐一在账号可访问的知识空间内检索，每个空间取相关度最高的若干条证据。</w:t>
      </w:r>
    </w:p>
    <w:p w14:paraId="5B3B6F7D">
      <w:pPr>
        <w:spacing w:after="40" w:line="312" w:lineRule="auto"/>
        <w:ind w:left="480" w:hanging="240"/>
        <w:jc w:val="both"/>
      </w:pPr>
      <w:r>
        <w:rPr>
          <w:rFonts w:ascii="Times New Roman" w:eastAsia="宋体"/>
          <w:color w:val="182030"/>
          <w:sz w:val="24"/>
          <w:szCs w:val="24"/>
        </w:rPr>
        <w:t>· 注入内容带有明确的前置说明，声明这些资料仅供当前问题参考，不得当作民警本轮上传的图片或直接指令。</w:t>
      </w:r>
    </w:p>
    <w:p w14:paraId="1F81CE76">
      <w:pPr>
        <w:spacing w:after="40" w:line="312" w:lineRule="auto"/>
        <w:ind w:left="480" w:hanging="240"/>
        <w:jc w:val="both"/>
      </w:pPr>
      <w:r>
        <w:rPr>
          <w:rFonts w:ascii="Times New Roman" w:eastAsia="宋体"/>
          <w:color w:val="182030"/>
          <w:sz w:val="24"/>
          <w:szCs w:val="24"/>
        </w:rPr>
        <w:t>· 注入内容以系统内部消息的形式存在，不显示为对话气泡，民警看到的是模型基于证据给出的回答，而不是一段检索原文。</w:t>
      </w:r>
    </w:p>
    <w:p w14:paraId="143CE5DC">
      <w:pPr>
        <w:spacing w:after="40" w:line="312" w:lineRule="auto"/>
        <w:ind w:left="480" w:hanging="240"/>
        <w:jc w:val="both"/>
      </w:pPr>
      <w:r>
        <w:rPr>
          <w:rFonts w:ascii="Times New Roman" w:eastAsia="宋体"/>
          <w:color w:val="182030"/>
          <w:sz w:val="24"/>
          <w:szCs w:val="24"/>
        </w:rPr>
        <w:t>· 同一问题只注入一次，避免多轮推理中重复检索造成冗余与费用浪费。</w:t>
      </w:r>
    </w:p>
    <w:p w14:paraId="38342EEC">
      <w:pPr>
        <w:spacing w:after="40" w:line="312" w:lineRule="auto"/>
        <w:ind w:left="480" w:hanging="240"/>
        <w:jc w:val="both"/>
      </w:pPr>
      <w:r>
        <w:rPr>
          <w:rFonts w:ascii="Times New Roman" w:eastAsia="宋体"/>
          <w:color w:val="182030"/>
          <w:sz w:val="24"/>
          <w:szCs w:val="24"/>
        </w:rPr>
        <w:t>· 当民警明确要求走数据分析路径时，系统会临时关闭知识检索工具，防止模型在两条路径之间摇摆。</w:t>
      </w:r>
    </w:p>
    <w:p w14:paraId="3971D2D5">
      <w:pPr>
        <w:pStyle w:val="3"/>
        <w:spacing w:before="280" w:after="120" w:line="345" w:lineRule="atLeast"/>
      </w:pPr>
      <w:bookmarkStart w:id="23" w:name="_Toc24"/>
      <w:r>
        <w:rPr>
          <w:rFonts w:ascii="Times New Roman" w:eastAsia="黑体"/>
          <w:b/>
          <w:bCs/>
          <w:color w:val="1284BA"/>
          <w:sz w:val="30"/>
          <w:szCs w:val="30"/>
        </w:rPr>
        <w:t>5.3 数据分析：让不懂 SQL 的民警直接查数</w:t>
      </w:r>
      <w:bookmarkEnd w:id="23"/>
    </w:p>
    <w:p w14:paraId="1E5ED21C">
      <w:pPr>
        <w:spacing w:after="60" w:line="312" w:lineRule="auto"/>
        <w:ind w:firstLine="480"/>
        <w:jc w:val="both"/>
      </w:pPr>
      <w:r>
        <w:rPr>
          <w:rFonts w:ascii="Times New Roman" w:eastAsia="宋体"/>
          <w:color w:val="182030"/>
          <w:sz w:val="24"/>
          <w:szCs w:val="24"/>
        </w:rPr>
        <w:t>这是本平台对基层最直接的价值点。传统方式下，民警要从海量业务数据中得到一个结论，必须先学会查询语言或依赖技术人员写脚本；本平台把这一过程转化为自然语言对话。</w:t>
      </w:r>
    </w:p>
    <w:p w14:paraId="65AC6674">
      <w:pPr>
        <w:spacing w:after="60" w:line="312" w:lineRule="auto"/>
        <w:ind w:firstLine="480"/>
        <w:jc w:val="both"/>
      </w:pPr>
      <w:r>
        <w:rPr>
          <w:rFonts w:ascii="Times New Roman" w:eastAsia="宋体"/>
          <w:color w:val="182030"/>
          <w:sz w:val="24"/>
          <w:szCs w:val="24"/>
        </w:rPr>
        <w:t>平台的数据分析工具围绕表结构理解展开，模型的处理顺序是：先列出账号下可用的数据表，再读取目标表的字段说明、字段类型与样例行，理解数据的实际含义，然后生成只读查询语句取数，最后基于结果作答。民警只需说明想查什么，无需了解表名与字段名。</w:t>
      </w:r>
    </w:p>
    <w:p w14:paraId="312632C8">
      <w:pPr>
        <w:spacing w:after="60" w:line="312" w:lineRule="auto"/>
        <w:ind w:firstLine="480"/>
        <w:jc w:val="both"/>
      </w:pPr>
      <w:r>
        <w:rPr>
          <w:rFonts w:ascii="Times New Roman" w:eastAsia="宋体"/>
          <w:color w:val="182030"/>
          <w:sz w:val="24"/>
          <w:szCs w:val="24"/>
        </w:rPr>
        <w:t>由于模型是自行生成查询语句，平台在工具层设置了多层防护，确保数据分析过程不会破坏数据：</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798"/>
        <w:gridCol w:w="7190"/>
      </w:tblGrid>
      <w:tr w14:paraId="287748B2">
        <w:trPr>
          <w:cantSplit/>
          <w:tblHeader/>
        </w:trPr>
        <w:tc>
          <w:tcPr>
            <w:tcW w:w="1000" w:type="pct"/>
            <w:shd w:val="clear" w:color="auto" w:fill="1284BA"/>
            <w:tcMar>
              <w:top w:w="60" w:type="dxa"/>
              <w:left w:w="100" w:type="dxa"/>
              <w:bottom w:w="60" w:type="dxa"/>
              <w:right w:w="100" w:type="dxa"/>
            </w:tcMar>
            <w:vAlign w:val="center"/>
          </w:tcPr>
          <w:p w14:paraId="5DCAAF99">
            <w:pPr>
              <w:spacing w:line="312" w:lineRule="auto"/>
            </w:pPr>
            <w:r>
              <w:rPr>
                <w:rFonts w:ascii="Times New Roman" w:eastAsia="宋体"/>
                <w:b/>
                <w:bCs/>
                <w:color w:val="FFFFFF"/>
                <w:sz w:val="21"/>
                <w:szCs w:val="21"/>
              </w:rPr>
              <w:t>防护措施</w:t>
            </w:r>
          </w:p>
        </w:tc>
        <w:tc>
          <w:tcPr>
            <w:tcW w:w="4000" w:type="pct"/>
            <w:shd w:val="clear" w:color="auto" w:fill="1284BA"/>
            <w:tcMar>
              <w:top w:w="60" w:type="dxa"/>
              <w:left w:w="100" w:type="dxa"/>
              <w:bottom w:w="60" w:type="dxa"/>
              <w:right w:w="100" w:type="dxa"/>
            </w:tcMar>
            <w:vAlign w:val="center"/>
          </w:tcPr>
          <w:p w14:paraId="074B190B">
            <w:pPr>
              <w:spacing w:line="312" w:lineRule="auto"/>
            </w:pPr>
            <w:r>
              <w:rPr>
                <w:rFonts w:ascii="Times New Roman" w:eastAsia="宋体"/>
                <w:b/>
                <w:bCs/>
                <w:color w:val="FFFFFF"/>
                <w:sz w:val="21"/>
                <w:szCs w:val="21"/>
              </w:rPr>
              <w:t>具体规则</w:t>
            </w:r>
          </w:p>
        </w:tc>
      </w:tr>
      <w:tr w14:paraId="080E0967">
        <w:trPr>
          <w:cantSplit/>
        </w:trPr>
        <w:tc>
          <w:tcPr>
            <w:tcW w:w="1000" w:type="pct"/>
            <w:tcMar>
              <w:top w:w="60" w:type="dxa"/>
              <w:left w:w="100" w:type="dxa"/>
              <w:bottom w:w="60" w:type="dxa"/>
              <w:right w:w="100" w:type="dxa"/>
            </w:tcMar>
            <w:vAlign w:val="center"/>
          </w:tcPr>
          <w:p w14:paraId="72A59A1B">
            <w:pPr>
              <w:spacing w:line="312" w:lineRule="auto"/>
            </w:pPr>
            <w:r>
              <w:rPr>
                <w:rFonts w:ascii="Times New Roman" w:eastAsia="宋体"/>
                <w:b w:val="0"/>
                <w:bCs w:val="0"/>
                <w:color w:val="182030"/>
                <w:sz w:val="21"/>
                <w:szCs w:val="21"/>
              </w:rPr>
              <w:t>只读约束</w:t>
            </w:r>
          </w:p>
        </w:tc>
        <w:tc>
          <w:tcPr>
            <w:tcW w:w="4000" w:type="pct"/>
            <w:tcMar>
              <w:top w:w="60" w:type="dxa"/>
              <w:left w:w="100" w:type="dxa"/>
              <w:bottom w:w="60" w:type="dxa"/>
              <w:right w:w="100" w:type="dxa"/>
            </w:tcMar>
            <w:vAlign w:val="center"/>
          </w:tcPr>
          <w:p w14:paraId="335C1AB0">
            <w:pPr>
              <w:spacing w:line="312" w:lineRule="auto"/>
            </w:pPr>
            <w:r>
              <w:rPr>
                <w:rFonts w:ascii="Times New Roman" w:eastAsia="宋体"/>
                <w:b w:val="0"/>
                <w:bCs w:val="0"/>
                <w:color w:val="182030"/>
                <w:sz w:val="21"/>
                <w:szCs w:val="21"/>
              </w:rPr>
              <w:t>仅允许单条查询语句，拒绝任何写入、修改、删除与结构变更操作，并拦截多语句拼接</w:t>
            </w:r>
          </w:p>
        </w:tc>
      </w:tr>
      <w:tr w14:paraId="582BFA96">
        <w:trPr>
          <w:cantSplit/>
        </w:trPr>
        <w:tc>
          <w:tcPr>
            <w:tcW w:w="1000" w:type="pct"/>
            <w:tcMar>
              <w:top w:w="60" w:type="dxa"/>
              <w:left w:w="100" w:type="dxa"/>
              <w:bottom w:w="60" w:type="dxa"/>
              <w:right w:w="100" w:type="dxa"/>
            </w:tcMar>
            <w:vAlign w:val="center"/>
          </w:tcPr>
          <w:p w14:paraId="080D284D">
            <w:pPr>
              <w:spacing w:line="312" w:lineRule="auto"/>
            </w:pPr>
            <w:r>
              <w:rPr>
                <w:rFonts w:ascii="Times New Roman" w:eastAsia="宋体"/>
                <w:b w:val="0"/>
                <w:bCs w:val="0"/>
                <w:color w:val="182030"/>
                <w:sz w:val="21"/>
                <w:szCs w:val="21"/>
              </w:rPr>
              <w:t>结果限量</w:t>
            </w:r>
          </w:p>
        </w:tc>
        <w:tc>
          <w:tcPr>
            <w:tcW w:w="4000" w:type="pct"/>
            <w:tcMar>
              <w:top w:w="60" w:type="dxa"/>
              <w:left w:w="100" w:type="dxa"/>
              <w:bottom w:w="60" w:type="dxa"/>
              <w:right w:w="100" w:type="dxa"/>
            </w:tcMar>
            <w:vAlign w:val="center"/>
          </w:tcPr>
          <w:p w14:paraId="0976E391">
            <w:pPr>
              <w:spacing w:line="312" w:lineRule="auto"/>
            </w:pPr>
            <w:r>
              <w:rPr>
                <w:rFonts w:ascii="Times New Roman" w:eastAsia="宋体"/>
                <w:b w:val="0"/>
                <w:bCs w:val="0"/>
                <w:color w:val="182030"/>
                <w:sz w:val="21"/>
                <w:szCs w:val="21"/>
              </w:rPr>
              <w:t>自动为查询附加行数上限，返回结果截断至约定条数</w:t>
            </w:r>
          </w:p>
        </w:tc>
      </w:tr>
      <w:tr w14:paraId="1151EE98">
        <w:trPr>
          <w:cantSplit/>
        </w:trPr>
        <w:tc>
          <w:tcPr>
            <w:tcW w:w="1000" w:type="pct"/>
            <w:tcMar>
              <w:top w:w="60" w:type="dxa"/>
              <w:left w:w="100" w:type="dxa"/>
              <w:bottom w:w="60" w:type="dxa"/>
              <w:right w:w="100" w:type="dxa"/>
            </w:tcMar>
            <w:vAlign w:val="center"/>
          </w:tcPr>
          <w:p w14:paraId="0B68A4D5">
            <w:pPr>
              <w:spacing w:line="312" w:lineRule="auto"/>
            </w:pPr>
            <w:r>
              <w:rPr>
                <w:rFonts w:ascii="Times New Roman" w:eastAsia="宋体"/>
                <w:b w:val="0"/>
                <w:bCs w:val="0"/>
                <w:color w:val="182030"/>
                <w:sz w:val="21"/>
                <w:szCs w:val="21"/>
              </w:rPr>
              <w:t>执行限时</w:t>
            </w:r>
          </w:p>
        </w:tc>
        <w:tc>
          <w:tcPr>
            <w:tcW w:w="4000" w:type="pct"/>
            <w:tcMar>
              <w:top w:w="60" w:type="dxa"/>
              <w:left w:w="100" w:type="dxa"/>
              <w:bottom w:w="60" w:type="dxa"/>
              <w:right w:w="100" w:type="dxa"/>
            </w:tcMar>
            <w:vAlign w:val="center"/>
          </w:tcPr>
          <w:p w14:paraId="26AE6295">
            <w:pPr>
              <w:spacing w:line="312" w:lineRule="auto"/>
            </w:pPr>
            <w:r>
              <w:rPr>
                <w:rFonts w:ascii="Times New Roman" w:eastAsia="宋体"/>
                <w:b w:val="0"/>
                <w:bCs w:val="0"/>
                <w:color w:val="182030"/>
                <w:sz w:val="21"/>
                <w:szCs w:val="21"/>
              </w:rPr>
              <w:t>单次查询设置语句级超时，避免大表全扫描长时间占用数据库</w:t>
            </w:r>
          </w:p>
        </w:tc>
      </w:tr>
      <w:tr w14:paraId="036AE3D4">
        <w:trPr>
          <w:cantSplit/>
        </w:trPr>
        <w:tc>
          <w:tcPr>
            <w:tcW w:w="1000" w:type="pct"/>
            <w:tcMar>
              <w:top w:w="60" w:type="dxa"/>
              <w:left w:w="100" w:type="dxa"/>
              <w:bottom w:w="60" w:type="dxa"/>
              <w:right w:w="100" w:type="dxa"/>
            </w:tcMar>
            <w:vAlign w:val="center"/>
          </w:tcPr>
          <w:p w14:paraId="0A677DE0">
            <w:pPr>
              <w:spacing w:line="312" w:lineRule="auto"/>
            </w:pPr>
            <w:r>
              <w:rPr>
                <w:rFonts w:ascii="Times New Roman" w:eastAsia="宋体"/>
                <w:b w:val="0"/>
                <w:bCs w:val="0"/>
                <w:color w:val="182030"/>
                <w:sz w:val="21"/>
                <w:szCs w:val="21"/>
              </w:rPr>
              <w:t>隔离双重</w:t>
            </w:r>
          </w:p>
        </w:tc>
        <w:tc>
          <w:tcPr>
            <w:tcW w:w="4000" w:type="pct"/>
            <w:tcMar>
              <w:top w:w="60" w:type="dxa"/>
              <w:left w:w="100" w:type="dxa"/>
              <w:bottom w:w="60" w:type="dxa"/>
              <w:right w:w="100" w:type="dxa"/>
            </w:tcMar>
            <w:vAlign w:val="center"/>
          </w:tcPr>
          <w:p w14:paraId="6EEB716D">
            <w:pPr>
              <w:spacing w:line="312" w:lineRule="auto"/>
            </w:pPr>
            <w:r>
              <w:rPr>
                <w:rFonts w:ascii="Times New Roman" w:eastAsia="宋体"/>
                <w:b w:val="0"/>
                <w:bCs w:val="0"/>
                <w:color w:val="182030"/>
                <w:sz w:val="21"/>
                <w:szCs w:val="21"/>
              </w:rPr>
              <w:t>所有查询强制按所属账号过滤，并使用该账号独立的数据库；账号之内还可进一步限定到具体案件</w:t>
            </w:r>
          </w:p>
        </w:tc>
      </w:tr>
      <w:tr w14:paraId="1BB68652">
        <w:trPr>
          <w:cantSplit/>
        </w:trPr>
        <w:tc>
          <w:tcPr>
            <w:tcW w:w="1000" w:type="pct"/>
            <w:tcMar>
              <w:top w:w="60" w:type="dxa"/>
              <w:left w:w="100" w:type="dxa"/>
              <w:bottom w:w="60" w:type="dxa"/>
              <w:right w:w="100" w:type="dxa"/>
            </w:tcMar>
            <w:vAlign w:val="center"/>
          </w:tcPr>
          <w:p w14:paraId="4B54F936">
            <w:pPr>
              <w:spacing w:line="312" w:lineRule="auto"/>
            </w:pPr>
            <w:r>
              <w:rPr>
                <w:rFonts w:ascii="Times New Roman" w:eastAsia="宋体"/>
                <w:b w:val="0"/>
                <w:bCs w:val="0"/>
                <w:color w:val="182030"/>
                <w:sz w:val="21"/>
                <w:szCs w:val="21"/>
              </w:rPr>
              <w:t>结构自描述</w:t>
            </w:r>
          </w:p>
        </w:tc>
        <w:tc>
          <w:tcPr>
            <w:tcW w:w="4000" w:type="pct"/>
            <w:tcMar>
              <w:top w:w="60" w:type="dxa"/>
              <w:left w:w="100" w:type="dxa"/>
              <w:bottom w:w="60" w:type="dxa"/>
              <w:right w:w="100" w:type="dxa"/>
            </w:tcMar>
            <w:vAlign w:val="center"/>
          </w:tcPr>
          <w:p w14:paraId="561839A7">
            <w:pPr>
              <w:spacing w:line="312" w:lineRule="auto"/>
            </w:pPr>
            <w:r>
              <w:rPr>
                <w:rFonts w:ascii="Times New Roman" w:eastAsia="宋体"/>
                <w:b w:val="0"/>
                <w:bCs w:val="0"/>
                <w:color w:val="182030"/>
                <w:sz w:val="21"/>
                <w:szCs w:val="21"/>
              </w:rPr>
              <w:t>字段以业务含义命名并带注释，使模型能准确理解字段用途</w:t>
            </w:r>
          </w:p>
        </w:tc>
      </w:tr>
    </w:tbl>
    <w:p w14:paraId="1595C082">
      <w:pPr>
        <w:spacing w:before="60" w:after="240" w:line="312" w:lineRule="auto"/>
        <w:jc w:val="center"/>
      </w:pPr>
      <w:r>
        <w:rPr>
          <w:rFonts w:ascii="Times New Roman" w:eastAsia="宋体"/>
          <w:color w:val="606060"/>
          <w:sz w:val="21"/>
          <w:szCs w:val="21"/>
        </w:rPr>
        <w:t>表 5-2 数据分析的安全防护</w:t>
      </w:r>
    </w:p>
    <w:p w14:paraId="0241CC8F">
      <w:pPr>
        <w:spacing w:after="60" w:line="312" w:lineRule="auto"/>
        <w:ind w:firstLine="480"/>
        <w:jc w:val="both"/>
      </w:pPr>
      <w:r>
        <w:rPr>
          <w:rFonts w:ascii="Times New Roman" w:eastAsia="宋体"/>
          <w:color w:val="182030"/>
          <w:sz w:val="24"/>
          <w:szCs w:val="24"/>
        </w:rPr>
        <w:t>这一能力的实际效果，是把原本需要人工逐条核对、或在电子表格中反复筛选的统计工作，压缩为一次对话。对于需要跨多个数据源关联分析的任务，民警可以在同一会话中连续提出问题，由模型承担查询与关联的梳理工作。</w:t>
      </w:r>
    </w:p>
    <w:p w14:paraId="32A2890B">
      <w:pPr>
        <w:pStyle w:val="3"/>
        <w:spacing w:before="280" w:after="120" w:line="345" w:lineRule="atLeast"/>
      </w:pPr>
      <w:bookmarkStart w:id="24" w:name="_Toc25"/>
      <w:r>
        <w:rPr>
          <w:rFonts w:ascii="Times New Roman" w:eastAsia="黑体"/>
          <w:b/>
          <w:bCs/>
          <w:color w:val="1284BA"/>
          <w:sz w:val="30"/>
          <w:szCs w:val="30"/>
        </w:rPr>
        <w:t>5.4 产出与交付</w:t>
      </w:r>
      <w:bookmarkEnd w:id="24"/>
    </w:p>
    <w:p w14:paraId="0A0BF899">
      <w:pPr>
        <w:spacing w:after="60" w:line="312" w:lineRule="auto"/>
        <w:ind w:firstLine="480"/>
        <w:jc w:val="both"/>
      </w:pPr>
      <w:r>
        <w:rPr>
          <w:rFonts w:ascii="Times New Roman" w:eastAsia="宋体"/>
          <w:color w:val="182030"/>
          <w:sz w:val="24"/>
          <w:szCs w:val="24"/>
        </w:rPr>
        <w:t>分析结论不仅以文字呈现，平台还可以按需生成可直接使用的交付物，并通过对话内的文件卡片提供下载：</w:t>
      </w:r>
    </w:p>
    <w:p w14:paraId="24D4DE9D">
      <w:pPr>
        <w:spacing w:after="40" w:line="312" w:lineRule="auto"/>
        <w:ind w:left="480" w:hanging="240"/>
        <w:jc w:val="both"/>
      </w:pPr>
      <w:r>
        <w:rPr>
          <w:rFonts w:ascii="Times New Roman" w:eastAsia="宋体"/>
          <w:color w:val="182030"/>
          <w:sz w:val="24"/>
          <w:szCs w:val="24"/>
        </w:rPr>
        <w:t>· 图表：将查询结果直接绘制为柱状图、折线图、饼图等，用于汇报与材料附图。</w:t>
      </w:r>
    </w:p>
    <w:p w14:paraId="240B98C1">
      <w:pPr>
        <w:spacing w:after="40" w:line="312" w:lineRule="auto"/>
        <w:ind w:left="480" w:hanging="240"/>
        <w:jc w:val="both"/>
      </w:pPr>
      <w:r>
        <w:rPr>
          <w:rFonts w:ascii="Times New Roman" w:eastAsia="宋体"/>
          <w:color w:val="182030"/>
          <w:sz w:val="24"/>
          <w:szCs w:val="24"/>
        </w:rPr>
        <w:t>· 文档：把分析结论整理为结构化的 Word 文档，节省整理时间。</w:t>
      </w:r>
    </w:p>
    <w:p w14:paraId="4002FE65">
      <w:pPr>
        <w:spacing w:after="40" w:line="312" w:lineRule="auto"/>
        <w:ind w:left="480" w:hanging="240"/>
        <w:jc w:val="both"/>
      </w:pPr>
      <w:r>
        <w:rPr>
          <w:rFonts w:ascii="Times New Roman" w:eastAsia="宋体"/>
          <w:color w:val="182030"/>
          <w:sz w:val="24"/>
          <w:szCs w:val="24"/>
        </w:rPr>
        <w:t>· 数据文件：把中间结果或明细导出为表格文件，供线下进一步使用。</w:t>
      </w:r>
    </w:p>
    <w:p w14:paraId="2A7F0D85">
      <w:pPr>
        <w:spacing w:after="60" w:line="312" w:lineRule="auto"/>
        <w:ind w:firstLine="480"/>
        <w:jc w:val="both"/>
      </w:pPr>
      <w:r>
        <w:rPr>
          <w:rFonts w:ascii="Times New Roman" w:eastAsia="宋体"/>
          <w:color w:val="182030"/>
          <w:sz w:val="24"/>
          <w:szCs w:val="24"/>
        </w:rPr>
        <w:t>这些产出文件与上传文件一样，保存在该账号自己的工作区内，其他账号无法访问。</w:t>
      </w:r>
    </w:p>
    <w:p w14:paraId="25798FFC">
      <w:pPr>
        <w:pStyle w:val="3"/>
        <w:spacing w:before="280" w:after="120" w:line="345" w:lineRule="atLeast"/>
      </w:pPr>
      <w:bookmarkStart w:id="25" w:name="_Toc26"/>
      <w:r>
        <w:rPr>
          <w:rFonts w:ascii="Times New Roman" w:eastAsia="黑体"/>
          <w:b/>
          <w:bCs/>
          <w:color w:val="1284BA"/>
          <w:sz w:val="30"/>
          <w:szCs w:val="30"/>
        </w:rPr>
        <w:t>5.5 典型协同流程</w:t>
      </w:r>
      <w:bookmarkEnd w:id="25"/>
    </w:p>
    <w:p w14:paraId="0BCD63CB">
      <w:pPr>
        <w:spacing w:after="60" w:line="312" w:lineRule="auto"/>
        <w:ind w:firstLine="480"/>
        <w:jc w:val="both"/>
      </w:pPr>
      <w:r>
        <w:rPr>
          <w:rFonts w:ascii="Times New Roman" w:eastAsia="宋体"/>
          <w:color w:val="182030"/>
          <w:sz w:val="24"/>
          <w:szCs w:val="24"/>
        </w:rPr>
        <w:t>以一个实际核查任务为例，说明各环节如何衔接：民警在对话中描述需要核查的事项，系统自动检索知识库中相关制度与既有材料作为背景；模型判断需要调阅业务数据，于是调用数据分析工具，读取账号下的相关数据表结构并生成查询，取得统计与明细结果；若涉及跨源关联，模型继续发起第二轮查询，把不同来源的数据对齐比对；得到结论后，模型给出分析意见，并按民警要求生成图表或 Word 报告；整个过程在对话中留痕，刷新页面后可以从完整轨迹中回溯每一步的查询与结论。</w:t>
      </w:r>
    </w:p>
    <w:p w14:paraId="4D97F8B1">
      <w:pPr>
        <w:pStyle w:val="3"/>
        <w:spacing w:before="280" w:after="120" w:line="345" w:lineRule="atLeast"/>
      </w:pPr>
      <w:bookmarkStart w:id="26" w:name="_Toc27"/>
      <w:r>
        <w:rPr>
          <w:rFonts w:ascii="Times New Roman" w:eastAsia="黑体"/>
          <w:b/>
          <w:bCs/>
          <w:color w:val="1284BA"/>
          <w:sz w:val="30"/>
          <w:szCs w:val="30"/>
        </w:rPr>
        <w:t>5.6 会话的导入与导出</w:t>
      </w:r>
      <w:bookmarkEnd w:id="26"/>
    </w:p>
    <w:p w14:paraId="752E6C57">
      <w:pPr>
        <w:spacing w:after="60" w:line="312" w:lineRule="auto"/>
        <w:ind w:firstLine="480"/>
        <w:jc w:val="both"/>
      </w:pPr>
      <w:r>
        <w:rPr>
          <w:rFonts w:ascii="Times New Roman" w:eastAsia="宋体"/>
          <w:color w:val="182030"/>
          <w:sz w:val="24"/>
          <w:szCs w:val="24"/>
        </w:rPr>
        <w:t>会话本身可以作为一个文件被带走和放回：在会话列表中导出某次对话得到一个自包含的文件，在另一处导入即生成一次新会话。它解决两类场景：把培养好的问法沉淀下来交给同事复用；把某次分析过程完整归档或转移到另一台部署。</w:t>
      </w:r>
    </w:p>
    <w:p w14:paraId="392A67DE">
      <w:pPr>
        <w:spacing w:after="60" w:line="312" w:lineRule="auto"/>
        <w:ind w:firstLine="480"/>
        <w:jc w:val="both"/>
      </w:pPr>
      <w:r>
        <w:rPr>
          <w:rFonts w:ascii="Times New Roman" w:eastAsia="宋体"/>
          <w:color w:val="182030"/>
          <w:sz w:val="24"/>
          <w:szCs w:val="24"/>
        </w:rPr>
        <w:t>实现上有三条刻意的取舍：一是文件里不写入任何身份信息，导入时全部重新生成，因此无法用它冒充或覆盖他人名下的会话；二是导入永远是新建，同一文件导入两次得到两个互不相干的会话；三是正文与完整轨迹一并带走，导入后可以继续对话，而不是只留下只读记录。</w:t>
      </w:r>
    </w:p>
    <w:p w14:paraId="26EC192D">
      <w:pPr>
        <w:spacing w:after="60" w:line="312" w:lineRule="auto"/>
        <w:ind w:firstLine="480"/>
        <w:jc w:val="both"/>
      </w:pPr>
      <w:r>
        <w:rPr>
          <w:rFonts w:ascii="Times New Roman" w:eastAsia="宋体"/>
          <w:color w:val="182030"/>
          <w:sz w:val="24"/>
          <w:szCs w:val="24"/>
        </w:rPr>
        <w:t>会话也可以分享给其他账号归档，但必须经对方确认后才会复制到其名下，形成可追溯的分享链条。</w:t>
      </w:r>
    </w:p>
    <w:p w14:paraId="1279A2A8">
      <w:pPr>
        <w:pStyle w:val="2"/>
        <w:pageBreakBefore/>
        <w:spacing w:before="360" w:after="160" w:line="368" w:lineRule="atLeast"/>
      </w:pPr>
      <w:bookmarkStart w:id="27" w:name="_Toc28"/>
      <w:r>
        <w:rPr>
          <w:rFonts w:ascii="Times New Roman" w:eastAsia="黑体"/>
          <w:b/>
          <w:bCs/>
          <w:color w:val="1284BA"/>
          <w:sz w:val="32"/>
          <w:szCs w:val="32"/>
        </w:rPr>
        <w:t>六、多用户安全隔离与运行可靠性</w:t>
      </w:r>
      <w:bookmarkEnd w:id="27"/>
    </w:p>
    <w:p w14:paraId="4FC82ED5">
      <w:pPr>
        <w:pStyle w:val="3"/>
        <w:spacing w:before="280" w:after="120" w:line="345" w:lineRule="atLeast"/>
      </w:pPr>
      <w:bookmarkStart w:id="28" w:name="_Toc29"/>
      <w:r>
        <w:rPr>
          <w:rFonts w:ascii="Times New Roman" w:eastAsia="黑体"/>
          <w:b/>
          <w:bCs/>
          <w:color w:val="1284BA"/>
          <w:sz w:val="30"/>
          <w:szCs w:val="30"/>
        </w:rPr>
        <w:t>6.1 账号隔离的设计原则</w:t>
      </w:r>
      <w:bookmarkEnd w:id="28"/>
    </w:p>
    <w:p w14:paraId="11737A8C">
      <w:pPr>
        <w:spacing w:after="60" w:line="312" w:lineRule="auto"/>
        <w:ind w:firstLine="480"/>
        <w:jc w:val="both"/>
      </w:pPr>
      <w:r>
        <w:rPr>
          <w:rFonts w:ascii="Times New Roman" w:eastAsia="宋体"/>
          <w:color w:val="182030"/>
          <w:sz w:val="24"/>
          <w:szCs w:val="24"/>
        </w:rPr>
        <w:t>警务数据对隔离性要求极高。平台确立了三条不可妥协的原则：</w:t>
      </w:r>
    </w:p>
    <w:p w14:paraId="42F8FF27">
      <w:pPr>
        <w:spacing w:after="40" w:line="312" w:lineRule="auto"/>
        <w:ind w:left="480" w:hanging="240"/>
        <w:jc w:val="both"/>
      </w:pPr>
      <w:r>
        <w:rPr>
          <w:rFonts w:ascii="Times New Roman" w:eastAsia="宋体"/>
          <w:color w:val="182030"/>
          <w:sz w:val="24"/>
          <w:szCs w:val="24"/>
        </w:rPr>
        <w:t>· 身份必须可信且贯穿全程。账号身份在请求入口解析后注入整条执行链路，模型推理、工具执行、数据查询各环节都以同一身份为准，不接受前端自行声明的身份。</w:t>
      </w:r>
    </w:p>
    <w:p w14:paraId="06022D6E">
      <w:pPr>
        <w:spacing w:after="40" w:line="312" w:lineRule="auto"/>
        <w:ind w:left="480" w:hanging="240"/>
        <w:jc w:val="both"/>
      </w:pPr>
      <w:r>
        <w:rPr>
          <w:rFonts w:ascii="Times New Roman" w:eastAsia="宋体"/>
          <w:color w:val="182030"/>
          <w:sz w:val="24"/>
          <w:szCs w:val="24"/>
        </w:rPr>
        <w:t>· 隔离在服务端强制执行。所有数据访问的账号过滤都在服务端完成，不依赖前端界面的隐藏或限制，即使绕过界面直接调用接口也无法越权。</w:t>
      </w:r>
    </w:p>
    <w:p w14:paraId="6DC01811">
      <w:pPr>
        <w:spacing w:after="40" w:line="312" w:lineRule="auto"/>
        <w:ind w:left="480" w:hanging="240"/>
        <w:jc w:val="both"/>
      </w:pPr>
      <w:r>
        <w:rPr>
          <w:rFonts w:ascii="Times New Roman" w:eastAsia="宋体"/>
          <w:color w:val="182030"/>
          <w:sz w:val="24"/>
          <w:szCs w:val="24"/>
        </w:rPr>
        <w:t>· 失败时默认拒绝。当系统无法确定调用者身份时，相关操作直接拒绝，而不是退回到某个更高权限的默认身份。</w:t>
      </w:r>
    </w:p>
    <w:p w14:paraId="4FD2E06E">
      <w:pPr>
        <w:pStyle w:val="3"/>
        <w:spacing w:before="280" w:after="120" w:line="345" w:lineRule="atLeast"/>
      </w:pPr>
      <w:bookmarkStart w:id="29" w:name="_Toc30"/>
      <w:r>
        <w:rPr>
          <w:rFonts w:ascii="Times New Roman" w:eastAsia="黑体"/>
          <w:b/>
          <w:bCs/>
          <w:color w:val="1284BA"/>
          <w:sz w:val="30"/>
          <w:szCs w:val="30"/>
        </w:rPr>
        <w:t>6.2 隔离的具体落实</w:t>
      </w:r>
      <w:bookmarkEnd w:id="29"/>
    </w:p>
    <w:p w14:paraId="46AD5B3B">
      <w:pPr>
        <w:spacing w:after="60" w:line="312" w:lineRule="auto"/>
        <w:ind w:firstLine="480"/>
        <w:jc w:val="both"/>
      </w:pPr>
      <w:r>
        <w:rPr>
          <w:rFonts w:ascii="Times New Roman" w:eastAsia="宋体"/>
          <w:color w:val="182030"/>
          <w:sz w:val="24"/>
          <w:szCs w:val="24"/>
        </w:rPr>
        <w:t>平台在账号隔离之内还设了一层：账号可以把自己的知识资料与数据表归入不同案件（路径），智能体只在被授权的案件范围内活动。这使得同一名民警名下、不同案件之间的材料也互不可见，而不只是民警之间互不可见。</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798"/>
        <w:gridCol w:w="7190"/>
      </w:tblGrid>
      <w:tr w14:paraId="66B95893">
        <w:trPr>
          <w:cantSplit/>
          <w:tblHeader/>
        </w:trPr>
        <w:tc>
          <w:tcPr>
            <w:tcW w:w="1000" w:type="pct"/>
            <w:shd w:val="clear" w:color="auto" w:fill="1284BA"/>
            <w:tcMar>
              <w:top w:w="60" w:type="dxa"/>
              <w:left w:w="100" w:type="dxa"/>
              <w:bottom w:w="60" w:type="dxa"/>
              <w:right w:w="100" w:type="dxa"/>
            </w:tcMar>
            <w:vAlign w:val="center"/>
          </w:tcPr>
          <w:p w14:paraId="129D84DD">
            <w:pPr>
              <w:spacing w:line="312" w:lineRule="auto"/>
            </w:pPr>
            <w:r>
              <w:rPr>
                <w:rFonts w:ascii="Times New Roman" w:eastAsia="宋体"/>
                <w:b/>
                <w:bCs/>
                <w:color w:val="FFFFFF"/>
                <w:sz w:val="21"/>
                <w:szCs w:val="21"/>
              </w:rPr>
              <w:t>资源类别</w:t>
            </w:r>
          </w:p>
        </w:tc>
        <w:tc>
          <w:tcPr>
            <w:tcW w:w="4000" w:type="pct"/>
            <w:shd w:val="clear" w:color="auto" w:fill="1284BA"/>
            <w:tcMar>
              <w:top w:w="60" w:type="dxa"/>
              <w:left w:w="100" w:type="dxa"/>
              <w:bottom w:w="60" w:type="dxa"/>
              <w:right w:w="100" w:type="dxa"/>
            </w:tcMar>
            <w:vAlign w:val="center"/>
          </w:tcPr>
          <w:p w14:paraId="49C3C1D6">
            <w:pPr>
              <w:spacing w:line="312" w:lineRule="auto"/>
            </w:pPr>
            <w:r>
              <w:rPr>
                <w:rFonts w:ascii="Times New Roman" w:eastAsia="宋体"/>
                <w:b/>
                <w:bCs/>
                <w:color w:val="FFFFFF"/>
                <w:sz w:val="21"/>
                <w:szCs w:val="21"/>
              </w:rPr>
              <w:t>隔离方式</w:t>
            </w:r>
          </w:p>
        </w:tc>
      </w:tr>
      <w:tr w14:paraId="7AA846E4">
        <w:trPr>
          <w:cantSplit/>
        </w:trPr>
        <w:tc>
          <w:tcPr>
            <w:tcW w:w="1000" w:type="pct"/>
            <w:tcMar>
              <w:top w:w="60" w:type="dxa"/>
              <w:left w:w="100" w:type="dxa"/>
              <w:bottom w:w="60" w:type="dxa"/>
              <w:right w:w="100" w:type="dxa"/>
            </w:tcMar>
            <w:vAlign w:val="center"/>
          </w:tcPr>
          <w:p w14:paraId="0C930EFA">
            <w:pPr>
              <w:spacing w:line="312" w:lineRule="auto"/>
            </w:pPr>
            <w:r>
              <w:rPr>
                <w:rFonts w:ascii="Times New Roman" w:eastAsia="宋体"/>
                <w:b w:val="0"/>
                <w:bCs w:val="0"/>
                <w:color w:val="182030"/>
                <w:sz w:val="21"/>
                <w:szCs w:val="21"/>
              </w:rPr>
              <w:t>文件与目录</w:t>
            </w:r>
          </w:p>
        </w:tc>
        <w:tc>
          <w:tcPr>
            <w:tcW w:w="4000" w:type="pct"/>
            <w:tcMar>
              <w:top w:w="60" w:type="dxa"/>
              <w:left w:w="100" w:type="dxa"/>
              <w:bottom w:w="60" w:type="dxa"/>
              <w:right w:w="100" w:type="dxa"/>
            </w:tcMar>
            <w:vAlign w:val="center"/>
          </w:tcPr>
          <w:p w14:paraId="2E24830B">
            <w:pPr>
              <w:spacing w:line="312" w:lineRule="auto"/>
            </w:pPr>
            <w:r>
              <w:rPr>
                <w:rFonts w:ascii="Times New Roman" w:eastAsia="宋体"/>
                <w:b w:val="0"/>
                <w:bCs w:val="0"/>
                <w:color w:val="182030"/>
                <w:sz w:val="21"/>
                <w:szCs w:val="21"/>
              </w:rPr>
              <w:t>每个账号拥有独立的工作区根目录，所有文件读写操作在服务端校验路径必须落在本账号根目录内；目录名对中文账号名做哈希处理，避免路径问题并减少信息暴露</w:t>
            </w:r>
          </w:p>
        </w:tc>
      </w:tr>
      <w:tr w14:paraId="32077497">
        <w:trPr>
          <w:cantSplit/>
        </w:trPr>
        <w:tc>
          <w:tcPr>
            <w:tcW w:w="1000" w:type="pct"/>
            <w:tcMar>
              <w:top w:w="60" w:type="dxa"/>
              <w:left w:w="100" w:type="dxa"/>
              <w:bottom w:w="60" w:type="dxa"/>
              <w:right w:w="100" w:type="dxa"/>
            </w:tcMar>
            <w:vAlign w:val="center"/>
          </w:tcPr>
          <w:p w14:paraId="55A353C9">
            <w:pPr>
              <w:spacing w:line="312" w:lineRule="auto"/>
            </w:pPr>
            <w:r>
              <w:rPr>
                <w:rFonts w:ascii="Times New Roman" w:eastAsia="宋体"/>
                <w:b w:val="0"/>
                <w:bCs w:val="0"/>
                <w:color w:val="182030"/>
                <w:sz w:val="21"/>
                <w:szCs w:val="21"/>
              </w:rPr>
              <w:t>会话与消息</w:t>
            </w:r>
          </w:p>
        </w:tc>
        <w:tc>
          <w:tcPr>
            <w:tcW w:w="4000" w:type="pct"/>
            <w:tcMar>
              <w:top w:w="60" w:type="dxa"/>
              <w:left w:w="100" w:type="dxa"/>
              <w:bottom w:w="60" w:type="dxa"/>
              <w:right w:w="100" w:type="dxa"/>
            </w:tcMar>
            <w:vAlign w:val="center"/>
          </w:tcPr>
          <w:p w14:paraId="59D2A9A3">
            <w:pPr>
              <w:spacing w:line="312" w:lineRule="auto"/>
            </w:pPr>
            <w:r>
              <w:rPr>
                <w:rFonts w:ascii="Times New Roman" w:eastAsia="宋体"/>
                <w:b w:val="0"/>
                <w:bCs w:val="0"/>
                <w:color w:val="182030"/>
                <w:sz w:val="21"/>
                <w:szCs w:val="21"/>
              </w:rPr>
              <w:t>会话索引、会话状态与完整对话轨迹均按账号存放，查询时按账号过滤</w:t>
            </w:r>
          </w:p>
        </w:tc>
      </w:tr>
      <w:tr w14:paraId="7A835D33">
        <w:trPr>
          <w:cantSplit/>
        </w:trPr>
        <w:tc>
          <w:tcPr>
            <w:tcW w:w="1000" w:type="pct"/>
            <w:tcMar>
              <w:top w:w="60" w:type="dxa"/>
              <w:left w:w="100" w:type="dxa"/>
              <w:bottom w:w="60" w:type="dxa"/>
              <w:right w:w="100" w:type="dxa"/>
            </w:tcMar>
            <w:vAlign w:val="center"/>
          </w:tcPr>
          <w:p w14:paraId="71A10840">
            <w:pPr>
              <w:spacing w:line="312" w:lineRule="auto"/>
            </w:pPr>
            <w:r>
              <w:rPr>
                <w:rFonts w:ascii="Times New Roman" w:eastAsia="宋体"/>
                <w:b w:val="0"/>
                <w:bCs w:val="0"/>
                <w:color w:val="182030"/>
                <w:sz w:val="21"/>
                <w:szCs w:val="21"/>
              </w:rPr>
              <w:t>知识空间与文档</w:t>
            </w:r>
          </w:p>
        </w:tc>
        <w:tc>
          <w:tcPr>
            <w:tcW w:w="4000" w:type="pct"/>
            <w:tcMar>
              <w:top w:w="60" w:type="dxa"/>
              <w:left w:w="100" w:type="dxa"/>
              <w:bottom w:w="60" w:type="dxa"/>
              <w:right w:w="100" w:type="dxa"/>
            </w:tcMar>
            <w:vAlign w:val="center"/>
          </w:tcPr>
          <w:p w14:paraId="7651D02F">
            <w:pPr>
              <w:spacing w:line="312" w:lineRule="auto"/>
            </w:pPr>
            <w:r>
              <w:rPr>
                <w:rFonts w:ascii="Times New Roman" w:eastAsia="宋体"/>
                <w:b w:val="0"/>
                <w:bCs w:val="0"/>
                <w:color w:val="182030"/>
                <w:sz w:val="21"/>
                <w:szCs w:val="21"/>
              </w:rPr>
              <w:t>知识空间与文档均绑定所属账号，并可进一步归入具体案件；服务端每次访问都校验归属。该隔离对管理员同样生效，管理员不通过此路径旁路查看他人资料</w:t>
            </w:r>
          </w:p>
        </w:tc>
      </w:tr>
      <w:tr w14:paraId="461B42A8">
        <w:trPr>
          <w:cantSplit/>
        </w:trPr>
        <w:tc>
          <w:tcPr>
            <w:tcW w:w="1000" w:type="pct"/>
            <w:tcMar>
              <w:top w:w="60" w:type="dxa"/>
              <w:left w:w="100" w:type="dxa"/>
              <w:bottom w:w="60" w:type="dxa"/>
              <w:right w:w="100" w:type="dxa"/>
            </w:tcMar>
            <w:vAlign w:val="center"/>
          </w:tcPr>
          <w:p w14:paraId="42C8FF53">
            <w:pPr>
              <w:spacing w:line="312" w:lineRule="auto"/>
            </w:pPr>
            <w:r>
              <w:rPr>
                <w:rFonts w:ascii="Times New Roman" w:eastAsia="宋体"/>
                <w:b w:val="0"/>
                <w:bCs w:val="0"/>
                <w:color w:val="182030"/>
                <w:sz w:val="21"/>
                <w:szCs w:val="21"/>
              </w:rPr>
              <w:t>案件（路径）范围</w:t>
            </w:r>
          </w:p>
        </w:tc>
        <w:tc>
          <w:tcPr>
            <w:tcW w:w="4000" w:type="pct"/>
            <w:tcMar>
              <w:top w:w="60" w:type="dxa"/>
              <w:left w:w="100" w:type="dxa"/>
              <w:bottom w:w="60" w:type="dxa"/>
              <w:right w:w="100" w:type="dxa"/>
            </w:tcMar>
            <w:vAlign w:val="center"/>
          </w:tcPr>
          <w:p w14:paraId="027AD90C">
            <w:pPr>
              <w:spacing w:line="312" w:lineRule="auto"/>
            </w:pPr>
            <w:r>
              <w:rPr>
                <w:rFonts w:ascii="Times New Roman" w:eastAsia="宋体"/>
                <w:b w:val="0"/>
                <w:bCs w:val="0"/>
                <w:color w:val="182030"/>
                <w:sz w:val="21"/>
                <w:szCs w:val="21"/>
              </w:rPr>
              <w:t>账号内的案件是一层独立授权：资源可归入某个案件，智能体按案件授权活动，未授权案件的资料不会出现在检索与列表结果中</w:t>
            </w:r>
          </w:p>
        </w:tc>
      </w:tr>
      <w:tr w14:paraId="733D7629">
        <w:trPr>
          <w:cantSplit/>
        </w:trPr>
        <w:tc>
          <w:tcPr>
            <w:tcW w:w="1000" w:type="pct"/>
            <w:tcMar>
              <w:top w:w="60" w:type="dxa"/>
              <w:left w:w="100" w:type="dxa"/>
              <w:bottom w:w="60" w:type="dxa"/>
              <w:right w:w="100" w:type="dxa"/>
            </w:tcMar>
            <w:vAlign w:val="center"/>
          </w:tcPr>
          <w:p w14:paraId="7E25627C">
            <w:pPr>
              <w:spacing w:line="312" w:lineRule="auto"/>
            </w:pPr>
            <w:r>
              <w:rPr>
                <w:rFonts w:ascii="Times New Roman" w:eastAsia="宋体"/>
                <w:b w:val="0"/>
                <w:bCs w:val="0"/>
                <w:color w:val="182030"/>
                <w:sz w:val="21"/>
                <w:szCs w:val="21"/>
              </w:rPr>
              <w:t>数据分析库</w:t>
            </w:r>
          </w:p>
        </w:tc>
        <w:tc>
          <w:tcPr>
            <w:tcW w:w="4000" w:type="pct"/>
            <w:tcMar>
              <w:top w:w="60" w:type="dxa"/>
              <w:left w:w="100" w:type="dxa"/>
              <w:bottom w:w="60" w:type="dxa"/>
              <w:right w:w="100" w:type="dxa"/>
            </w:tcMar>
            <w:vAlign w:val="center"/>
          </w:tcPr>
          <w:p w14:paraId="35EFE8C9">
            <w:pPr>
              <w:spacing w:line="312" w:lineRule="auto"/>
            </w:pPr>
            <w:r>
              <w:rPr>
                <w:rFonts w:ascii="Times New Roman" w:eastAsia="宋体"/>
                <w:b w:val="0"/>
                <w:bCs w:val="0"/>
                <w:color w:val="182030"/>
                <w:sz w:val="21"/>
                <w:szCs w:val="21"/>
              </w:rPr>
              <w:t>每个账号一组独立的数据库对象，查询强制附加账号条件，并可按案件进一步限定</w:t>
            </w:r>
          </w:p>
        </w:tc>
      </w:tr>
      <w:tr w14:paraId="76C79442">
        <w:trPr>
          <w:cantSplit/>
        </w:trPr>
        <w:tc>
          <w:tcPr>
            <w:tcW w:w="1000" w:type="pct"/>
            <w:tcMar>
              <w:top w:w="60" w:type="dxa"/>
              <w:left w:w="100" w:type="dxa"/>
              <w:bottom w:w="60" w:type="dxa"/>
              <w:right w:w="100" w:type="dxa"/>
            </w:tcMar>
            <w:vAlign w:val="center"/>
          </w:tcPr>
          <w:p w14:paraId="296C1795">
            <w:pPr>
              <w:spacing w:line="312" w:lineRule="auto"/>
            </w:pPr>
            <w:r>
              <w:rPr>
                <w:rFonts w:ascii="Times New Roman" w:eastAsia="宋体"/>
                <w:b w:val="0"/>
                <w:bCs w:val="0"/>
                <w:color w:val="182030"/>
                <w:sz w:val="21"/>
                <w:szCs w:val="21"/>
              </w:rPr>
              <w:t>知识图谱</w:t>
            </w:r>
          </w:p>
        </w:tc>
        <w:tc>
          <w:tcPr>
            <w:tcW w:w="4000" w:type="pct"/>
            <w:tcMar>
              <w:top w:w="60" w:type="dxa"/>
              <w:left w:w="100" w:type="dxa"/>
              <w:bottom w:w="60" w:type="dxa"/>
              <w:right w:w="100" w:type="dxa"/>
            </w:tcMar>
            <w:vAlign w:val="center"/>
          </w:tcPr>
          <w:p w14:paraId="24184B6A">
            <w:pPr>
              <w:spacing w:line="312" w:lineRule="auto"/>
            </w:pPr>
            <w:r>
              <w:rPr>
                <w:rFonts w:ascii="Times New Roman" w:eastAsia="宋体"/>
                <w:b w:val="0"/>
                <w:bCs w:val="0"/>
                <w:color w:val="182030"/>
                <w:sz w:val="21"/>
                <w:szCs w:val="21"/>
              </w:rPr>
              <w:t>图谱按案件划分工作区，不同案件在存储层互不可见</w:t>
            </w:r>
          </w:p>
        </w:tc>
      </w:tr>
      <w:tr w14:paraId="081C6A10">
        <w:trPr>
          <w:cantSplit/>
        </w:trPr>
        <w:tc>
          <w:tcPr>
            <w:tcW w:w="1000" w:type="pct"/>
            <w:tcMar>
              <w:top w:w="60" w:type="dxa"/>
              <w:left w:w="100" w:type="dxa"/>
              <w:bottom w:w="60" w:type="dxa"/>
              <w:right w:w="100" w:type="dxa"/>
            </w:tcMar>
            <w:vAlign w:val="center"/>
          </w:tcPr>
          <w:p w14:paraId="4E30D5E6">
            <w:pPr>
              <w:spacing w:line="312" w:lineRule="auto"/>
            </w:pPr>
            <w:r>
              <w:rPr>
                <w:rFonts w:ascii="Times New Roman" w:eastAsia="宋体"/>
                <w:b w:val="0"/>
                <w:bCs w:val="0"/>
                <w:color w:val="182030"/>
                <w:sz w:val="21"/>
                <w:szCs w:val="21"/>
              </w:rPr>
              <w:t>工具权限</w:t>
            </w:r>
          </w:p>
        </w:tc>
        <w:tc>
          <w:tcPr>
            <w:tcW w:w="4000" w:type="pct"/>
            <w:tcMar>
              <w:top w:w="60" w:type="dxa"/>
              <w:left w:w="100" w:type="dxa"/>
              <w:bottom w:w="60" w:type="dxa"/>
              <w:right w:w="100" w:type="dxa"/>
            </w:tcMar>
            <w:vAlign w:val="center"/>
          </w:tcPr>
          <w:p w14:paraId="3E616A5E">
            <w:pPr>
              <w:spacing w:line="312" w:lineRule="auto"/>
            </w:pPr>
            <w:r>
              <w:rPr>
                <w:rFonts w:ascii="Times New Roman" w:eastAsia="宋体"/>
                <w:b w:val="0"/>
                <w:bCs w:val="0"/>
                <w:color w:val="182030"/>
                <w:sz w:val="21"/>
                <w:szCs w:val="21"/>
              </w:rPr>
              <w:t>工具可见范围按账号配置，未授权的工具不会出现在模型可调用的清单中</w:t>
            </w:r>
          </w:p>
        </w:tc>
      </w:tr>
      <w:tr w14:paraId="23B6872C">
        <w:trPr>
          <w:cantSplit/>
        </w:trPr>
        <w:tc>
          <w:tcPr>
            <w:tcW w:w="1000" w:type="pct"/>
            <w:tcMar>
              <w:top w:w="60" w:type="dxa"/>
              <w:left w:w="100" w:type="dxa"/>
              <w:bottom w:w="60" w:type="dxa"/>
              <w:right w:w="100" w:type="dxa"/>
            </w:tcMar>
            <w:vAlign w:val="center"/>
          </w:tcPr>
          <w:p w14:paraId="4A28335C">
            <w:pPr>
              <w:spacing w:line="312" w:lineRule="auto"/>
            </w:pPr>
            <w:r>
              <w:rPr>
                <w:rFonts w:ascii="Times New Roman" w:eastAsia="宋体"/>
                <w:b w:val="0"/>
                <w:bCs w:val="0"/>
                <w:color w:val="182030"/>
                <w:sz w:val="21"/>
                <w:szCs w:val="21"/>
              </w:rPr>
              <w:t>暂存与中间产物</w:t>
            </w:r>
          </w:p>
        </w:tc>
        <w:tc>
          <w:tcPr>
            <w:tcW w:w="4000" w:type="pct"/>
            <w:tcMar>
              <w:top w:w="60" w:type="dxa"/>
              <w:left w:w="100" w:type="dxa"/>
              <w:bottom w:w="60" w:type="dxa"/>
              <w:right w:w="100" w:type="dxa"/>
            </w:tcMar>
            <w:vAlign w:val="center"/>
          </w:tcPr>
          <w:p w14:paraId="404E9909">
            <w:pPr>
              <w:spacing w:line="312" w:lineRule="auto"/>
            </w:pPr>
            <w:r>
              <w:rPr>
                <w:rFonts w:ascii="Times New Roman" w:eastAsia="宋体"/>
                <w:b w:val="0"/>
                <w:bCs w:val="0"/>
                <w:color w:val="182030"/>
                <w:sz w:val="21"/>
                <w:szCs w:val="21"/>
              </w:rPr>
              <w:t>上传暂存、生成文件、图表等中间产物同样按账号分目录存放</w:t>
            </w:r>
          </w:p>
        </w:tc>
      </w:tr>
      <w:tr w14:paraId="580D285C">
        <w:trPr>
          <w:cantSplit/>
        </w:trPr>
        <w:tc>
          <w:tcPr>
            <w:tcW w:w="1000" w:type="pct"/>
            <w:tcMar>
              <w:top w:w="60" w:type="dxa"/>
              <w:left w:w="100" w:type="dxa"/>
              <w:bottom w:w="60" w:type="dxa"/>
              <w:right w:w="100" w:type="dxa"/>
            </w:tcMar>
            <w:vAlign w:val="center"/>
          </w:tcPr>
          <w:p w14:paraId="432B0369">
            <w:pPr>
              <w:spacing w:line="312" w:lineRule="auto"/>
            </w:pPr>
            <w:r>
              <w:rPr>
                <w:rFonts w:ascii="Times New Roman" w:eastAsia="宋体"/>
                <w:b w:val="0"/>
                <w:bCs w:val="0"/>
                <w:color w:val="182030"/>
                <w:sz w:val="21"/>
                <w:szCs w:val="21"/>
              </w:rPr>
              <w:t>统计与用量</w:t>
            </w:r>
          </w:p>
        </w:tc>
        <w:tc>
          <w:tcPr>
            <w:tcW w:w="4000" w:type="pct"/>
            <w:tcMar>
              <w:top w:w="60" w:type="dxa"/>
              <w:left w:w="100" w:type="dxa"/>
              <w:bottom w:w="60" w:type="dxa"/>
              <w:right w:w="100" w:type="dxa"/>
            </w:tcMar>
            <w:vAlign w:val="center"/>
          </w:tcPr>
          <w:p w14:paraId="236EE1D5">
            <w:pPr>
              <w:spacing w:line="312" w:lineRule="auto"/>
            </w:pPr>
            <w:r>
              <w:rPr>
                <w:rFonts w:ascii="Times New Roman" w:eastAsia="宋体"/>
                <w:b w:val="0"/>
                <w:bCs w:val="0"/>
                <w:color w:val="182030"/>
                <w:sz w:val="21"/>
                <w:szCs w:val="21"/>
              </w:rPr>
              <w:t>词元与调用统计按账号归因，普通账号仅能查看自身的用量</w:t>
            </w:r>
          </w:p>
        </w:tc>
      </w:tr>
    </w:tbl>
    <w:p w14:paraId="6B327B22">
      <w:pPr>
        <w:spacing w:before="60" w:after="240" w:line="312" w:lineRule="auto"/>
        <w:jc w:val="center"/>
      </w:pPr>
      <w:r>
        <w:rPr>
          <w:rFonts w:ascii="Times New Roman" w:eastAsia="宋体"/>
          <w:color w:val="606060"/>
          <w:sz w:val="21"/>
          <w:szCs w:val="21"/>
        </w:rPr>
        <w:t>表 6-1 各类资源的隔离方式</w:t>
      </w:r>
    </w:p>
    <w:p w14:paraId="463F1886">
      <w:pPr>
        <w:spacing w:after="60" w:line="312" w:lineRule="auto"/>
        <w:ind w:firstLine="480"/>
        <w:jc w:val="both"/>
      </w:pPr>
      <w:r>
        <w:rPr>
          <w:rFonts w:ascii="Times New Roman" w:eastAsia="宋体"/>
          <w:color w:val="182030"/>
          <w:sz w:val="24"/>
          <w:szCs w:val="24"/>
        </w:rPr>
        <w:t>其中，工具权限的隔离值得单独说明。平台把每个账号可用的工具范围持久化为账号级配置，并在构建智能体时按此配置过滤工具清单。这样即使模型被诱导尝试调用某个工具，该工具也根本不在可供选择的列表中。</w:t>
      </w:r>
    </w:p>
    <w:p w14:paraId="04BCEAA8">
      <w:pPr>
        <w:pStyle w:val="3"/>
        <w:spacing w:before="280" w:after="120" w:line="345" w:lineRule="atLeast"/>
      </w:pPr>
      <w:bookmarkStart w:id="30" w:name="_Toc31"/>
      <w:r>
        <w:rPr>
          <w:rFonts w:ascii="Times New Roman" w:eastAsia="黑体"/>
          <w:b/>
          <w:bCs/>
          <w:color w:val="1284BA"/>
          <w:sz w:val="30"/>
          <w:szCs w:val="30"/>
        </w:rPr>
        <w:t>6.3 长期运行的稳定性</w:t>
      </w:r>
      <w:bookmarkEnd w:id="30"/>
    </w:p>
    <w:p w14:paraId="6A564BD3">
      <w:pPr>
        <w:spacing w:after="60" w:line="312" w:lineRule="auto"/>
        <w:ind w:firstLine="480"/>
        <w:jc w:val="both"/>
      </w:pPr>
      <w:r>
        <w:rPr>
          <w:rFonts w:ascii="Times New Roman" w:eastAsia="宋体"/>
          <w:color w:val="182030"/>
          <w:sz w:val="24"/>
          <w:szCs w:val="24"/>
        </w:rPr>
        <w:t>平台面向长期在线使用，因此在工程上针对持续运行做了专门处理：</w:t>
      </w:r>
    </w:p>
    <w:p w14:paraId="3C11F785">
      <w:pPr>
        <w:spacing w:after="40" w:line="312" w:lineRule="auto"/>
        <w:ind w:left="480" w:hanging="240"/>
        <w:jc w:val="both"/>
      </w:pPr>
      <w:r>
        <w:rPr>
          <w:rFonts w:ascii="Times New Roman" w:eastAsia="宋体"/>
          <w:color w:val="182030"/>
          <w:sz w:val="24"/>
          <w:szCs w:val="24"/>
        </w:rPr>
        <w:t>· 资源占用可控。会话轨迹、重放缓存、上传暂存、日志文件等均有明确的保留期与容量上限，到期自动清理，避免长期运行导致磁盘与内存被逐步占满。</w:t>
      </w:r>
    </w:p>
    <w:p w14:paraId="792AF3F9">
      <w:pPr>
        <w:spacing w:after="40" w:line="312" w:lineRule="auto"/>
        <w:ind w:left="480" w:hanging="240"/>
        <w:jc w:val="both"/>
      </w:pPr>
      <w:r>
        <w:rPr>
          <w:rFonts w:ascii="Times New Roman" w:eastAsia="宋体"/>
          <w:color w:val="182030"/>
          <w:sz w:val="24"/>
          <w:szCs w:val="24"/>
        </w:rPr>
        <w:t>· 并发压力受控。对话模型调用设有全局并发上限，超出部分排队等待而非超时失败；数据分析查询设有语句级超时，防止单条大查询拖垮数据库。</w:t>
      </w:r>
    </w:p>
    <w:p w14:paraId="2140C9D9">
      <w:pPr>
        <w:spacing w:after="40" w:line="312" w:lineRule="auto"/>
        <w:ind w:left="480" w:hanging="240"/>
        <w:jc w:val="both"/>
      </w:pPr>
      <w:r>
        <w:rPr>
          <w:rFonts w:ascii="Times New Roman" w:eastAsia="宋体"/>
          <w:color w:val="182030"/>
          <w:sz w:val="24"/>
          <w:szCs w:val="24"/>
        </w:rPr>
        <w:t>· 同步操作分池隔离。文件读写、数据库访问、子进程调用与审计写入各自使用独立的线程池，互不挤占；任何池在等待预算内仍无法获得资源时，返回明确的错误而不是无限排队。</w:t>
      </w:r>
    </w:p>
    <w:p w14:paraId="4817043F">
      <w:pPr>
        <w:spacing w:after="40" w:line="312" w:lineRule="auto"/>
        <w:ind w:left="480" w:hanging="240"/>
        <w:jc w:val="both"/>
      </w:pPr>
      <w:r>
        <w:rPr>
          <w:rFonts w:ascii="Times New Roman" w:eastAsia="宋体"/>
          <w:color w:val="182030"/>
          <w:sz w:val="24"/>
          <w:szCs w:val="24"/>
        </w:rPr>
        <w:t>· 审计不占用主循环。治理审计的写入放在独立通道执行，即使审计通道繁忙也不会拖慢对话响应；审计失败会明确记录，不会静默丢失。</w:t>
      </w:r>
    </w:p>
    <w:p w14:paraId="2384DB79">
      <w:pPr>
        <w:spacing w:after="40" w:line="312" w:lineRule="auto"/>
        <w:ind w:left="480" w:hanging="240"/>
        <w:jc w:val="both"/>
      </w:pPr>
      <w:r>
        <w:rPr>
          <w:rFonts w:ascii="Times New Roman" w:eastAsia="宋体"/>
          <w:color w:val="182030"/>
          <w:sz w:val="24"/>
          <w:szCs w:val="24"/>
        </w:rPr>
        <w:t>· 状态可恢复。服务重启后，未完成的知识处理任务会自动重新排队，对话状态可从增量检查点恢复，进行中的会话不会因重启而丢失。</w:t>
      </w:r>
    </w:p>
    <w:p w14:paraId="19B75E9A">
      <w:pPr>
        <w:spacing w:after="40" w:line="312" w:lineRule="auto"/>
        <w:ind w:left="480" w:hanging="240"/>
        <w:jc w:val="both"/>
      </w:pPr>
      <w:r>
        <w:rPr>
          <w:rFonts w:ascii="Times New Roman" w:eastAsia="宋体"/>
          <w:color w:val="182030"/>
          <w:sz w:val="24"/>
          <w:szCs w:val="24"/>
        </w:rPr>
        <w:t>· 异常有迹可循。各服务的运行日志、SQL 执行日志均落盘保存，便于事后定位问题；关键操作保留审计线索。</w:t>
      </w:r>
    </w:p>
    <w:p w14:paraId="2BFD65CF">
      <w:pPr>
        <w:pStyle w:val="3"/>
        <w:spacing w:before="280" w:after="120" w:line="345" w:lineRule="atLeast"/>
      </w:pPr>
      <w:bookmarkStart w:id="31" w:name="_Toc32"/>
      <w:r>
        <w:rPr>
          <w:rFonts w:ascii="Times New Roman" w:eastAsia="黑体"/>
          <w:b/>
          <w:bCs/>
          <w:color w:val="1284BA"/>
          <w:sz w:val="30"/>
          <w:szCs w:val="30"/>
        </w:rPr>
        <w:t>6.4 部署形态</w:t>
      </w:r>
      <w:bookmarkEnd w:id="31"/>
    </w:p>
    <w:p w14:paraId="2BE06501">
      <w:pPr>
        <w:spacing w:after="60" w:line="312" w:lineRule="auto"/>
        <w:ind w:firstLine="480"/>
        <w:jc w:val="both"/>
      </w:pPr>
      <w:r>
        <w:rPr>
          <w:rFonts w:ascii="Times New Roman" w:eastAsia="宋体"/>
          <w:color w:val="182030"/>
          <w:sz w:val="24"/>
          <w:szCs w:val="24"/>
        </w:rPr>
        <w:t>平台采用容器化部署，分为主应用与知识服务两组容器，配合一个独立的 PostgreSQL 数据库容器。部署上做了三项针对性设计：</w:t>
      </w:r>
    </w:p>
    <w:p w14:paraId="746B0B25">
      <w:pPr>
        <w:spacing w:after="40" w:line="312" w:lineRule="auto"/>
        <w:ind w:left="480" w:hanging="240"/>
        <w:jc w:val="both"/>
      </w:pPr>
      <w:r>
        <w:rPr>
          <w:rFonts w:ascii="Times New Roman" w:eastAsia="宋体"/>
          <w:color w:val="182030"/>
          <w:sz w:val="24"/>
          <w:szCs w:val="24"/>
        </w:rPr>
        <w:t>· 全内网离线运行。基础镜像预先内置依赖、解析模型与浏览器运行时，部署环境无需访问公网。</w:t>
      </w:r>
    </w:p>
    <w:p w14:paraId="4C1EB2C4">
      <w:pPr>
        <w:spacing w:after="40" w:line="312" w:lineRule="auto"/>
        <w:ind w:left="480" w:hanging="240"/>
        <w:jc w:val="both"/>
      </w:pPr>
      <w:r>
        <w:rPr>
          <w:rFonts w:ascii="Times New Roman" w:eastAsia="宋体"/>
          <w:color w:val="182030"/>
          <w:sz w:val="24"/>
          <w:szCs w:val="24"/>
        </w:rPr>
        <w:t>· 代码挂载式更新。底座镜像承载系统依赖，日常代码更新只需替换挂载目录并重启服务，不必重建镜像，显著缩短上线时间。</w:t>
      </w:r>
    </w:p>
    <w:p w14:paraId="04D3C4A7">
      <w:pPr>
        <w:spacing w:after="40" w:line="312" w:lineRule="auto"/>
        <w:ind w:left="480" w:hanging="240"/>
        <w:jc w:val="both"/>
      </w:pPr>
      <w:r>
        <w:rPr>
          <w:rFonts w:ascii="Times New Roman" w:eastAsia="宋体"/>
          <w:color w:val="182030"/>
          <w:sz w:val="24"/>
          <w:szCs w:val="24"/>
        </w:rPr>
        <w:t>· 资源上限显式声明。各容器设置内存、CPU 与进程数上限，并按宿主机规格统一规划，防止单个容器占用全部资源影响其他服务。</w:t>
      </w:r>
    </w:p>
    <w:p w14:paraId="2605E907">
      <w:pPr>
        <w:spacing w:after="60" w:line="312" w:lineRule="auto"/>
        <w:ind w:firstLine="480"/>
        <w:jc w:val="both"/>
      </w:pPr>
      <w:r>
        <w:rPr>
          <w:rFonts w:ascii="Times New Roman" w:eastAsia="宋体"/>
          <w:color w:val="182030"/>
          <w:sz w:val="24"/>
          <w:szCs w:val="24"/>
        </w:rPr>
        <w:t>此外，日志目录独立于数据目录挂载到宿主机，无论容器如何重建，日志都可在宿主机侧直接查看，为运维排查提供了稳定依据。升级包中随附升级与迁移说明文件，逐项写明哪些改动自动生效、哪些需要人工确认，避免依赖个人记忆。</w:t>
      </w:r>
    </w:p>
    <w:p w14:paraId="5653E0F7">
      <w:pPr>
        <w:pStyle w:val="2"/>
        <w:pageBreakBefore/>
        <w:spacing w:before="360" w:after="160" w:line="368" w:lineRule="atLeast"/>
      </w:pPr>
      <w:bookmarkStart w:id="32" w:name="_Toc33"/>
      <w:r>
        <w:rPr>
          <w:rFonts w:ascii="Times New Roman" w:eastAsia="黑体"/>
          <w:b/>
          <w:bCs/>
          <w:color w:val="1284BA"/>
          <w:sz w:val="32"/>
          <w:szCs w:val="32"/>
        </w:rPr>
        <w:t>七、结论与展望</w:t>
      </w:r>
      <w:bookmarkEnd w:id="32"/>
    </w:p>
    <w:p w14:paraId="613D7AA8">
      <w:pPr>
        <w:pStyle w:val="3"/>
        <w:spacing w:before="280" w:after="120" w:line="345" w:lineRule="atLeast"/>
      </w:pPr>
      <w:bookmarkStart w:id="33" w:name="_Toc34"/>
      <w:r>
        <w:rPr>
          <w:rFonts w:ascii="Times New Roman" w:eastAsia="黑体"/>
          <w:b/>
          <w:bCs/>
          <w:color w:val="1284BA"/>
          <w:sz w:val="30"/>
          <w:szCs w:val="30"/>
        </w:rPr>
        <w:t>7.1 技术路线的本质</w:t>
      </w:r>
      <w:bookmarkEnd w:id="33"/>
    </w:p>
    <w:p w14:paraId="72DE16A0">
      <w:pPr>
        <w:spacing w:after="60" w:line="312" w:lineRule="auto"/>
        <w:ind w:firstLine="480"/>
        <w:jc w:val="both"/>
      </w:pPr>
      <w:r>
        <w:rPr>
          <w:rFonts w:ascii="Times New Roman" w:eastAsia="宋体"/>
          <w:color w:val="182030"/>
          <w:sz w:val="24"/>
          <w:szCs w:val="24"/>
        </w:rPr>
        <w:t>回顾上述实现，本平台的技术路线可以概括为三句话：以自然语言为唯一入口，把专业门槛交还给系统；以知识库为事实依据，让回答有出处而非凭空生成；以受控工具为执行手段，让模型负责决策、程序负责动作。</w:t>
      </w:r>
    </w:p>
    <w:p w14:paraId="0DDD8BAC">
      <w:pPr>
        <w:spacing w:after="60" w:line="312" w:lineRule="auto"/>
        <w:ind w:firstLine="480"/>
        <w:jc w:val="both"/>
      </w:pPr>
      <w:r>
        <w:rPr>
          <w:rFonts w:ascii="Times New Roman" w:eastAsia="宋体"/>
          <w:color w:val="182030"/>
          <w:sz w:val="24"/>
          <w:szCs w:val="24"/>
        </w:rPr>
        <w:t>其中最关键的是第三条。模型直接操作数据是不可控的，而把操作收敛为有限、可审计、带权限与路径约束的工具之后，模型的自由度恰好落在表达与推理层面，数据安全则由工程手段保证。这一分工正是平台能够进入实际业务场景的技术基础。</w:t>
      </w:r>
    </w:p>
    <w:p w14:paraId="368FCD0E">
      <w:pPr>
        <w:pStyle w:val="3"/>
        <w:spacing w:before="280" w:after="120" w:line="345" w:lineRule="atLeast"/>
      </w:pPr>
      <w:bookmarkStart w:id="34" w:name="_Toc35"/>
      <w:r>
        <w:rPr>
          <w:rFonts w:ascii="Times New Roman" w:eastAsia="黑体"/>
          <w:b/>
          <w:bCs/>
          <w:color w:val="1284BA"/>
          <w:sz w:val="30"/>
          <w:szCs w:val="30"/>
        </w:rPr>
        <w:t>7.2 已实现的业务价值</w:t>
      </w:r>
      <w:bookmarkEnd w:id="34"/>
    </w:p>
    <w:p w14:paraId="33E06478">
      <w:pPr>
        <w:spacing w:after="40" w:line="312" w:lineRule="auto"/>
        <w:ind w:left="480" w:hanging="240"/>
        <w:jc w:val="both"/>
      </w:pPr>
      <w:r>
        <w:rPr>
          <w:rFonts w:ascii="Times New Roman" w:eastAsia="宋体"/>
          <w:color w:val="182030"/>
          <w:sz w:val="24"/>
          <w:szCs w:val="24"/>
        </w:rPr>
        <w:t>· 核查流程统一化。原本分散在各专业系统中的逐项核查，收敛为一次对话内的协同核查，民警无需在多个系统之间切换与人工比对。</w:t>
      </w:r>
    </w:p>
    <w:p w14:paraId="4F58400D">
      <w:pPr>
        <w:spacing w:after="40" w:line="312" w:lineRule="auto"/>
        <w:ind w:left="480" w:hanging="240"/>
        <w:jc w:val="both"/>
      </w:pPr>
      <w:r>
        <w:rPr>
          <w:rFonts w:ascii="Times New Roman" w:eastAsia="宋体"/>
          <w:color w:val="182030"/>
          <w:sz w:val="24"/>
          <w:szCs w:val="24"/>
        </w:rPr>
        <w:t>· 分析门槛大幅降低。民警无需掌握查询语言与数据分析工具，用日常语言即可完成大数据量、多数据源的综合分析，这是此前难以实现的能力。</w:t>
      </w:r>
    </w:p>
    <w:p w14:paraId="1B43DFD3">
      <w:pPr>
        <w:spacing w:after="40" w:line="312" w:lineRule="auto"/>
        <w:ind w:left="480" w:hanging="240"/>
        <w:jc w:val="both"/>
      </w:pPr>
      <w:r>
        <w:rPr>
          <w:rFonts w:ascii="Times New Roman" w:eastAsia="宋体"/>
          <w:color w:val="182030"/>
          <w:sz w:val="24"/>
          <w:szCs w:val="24"/>
        </w:rPr>
        <w:t>· 知识沉淀可复用。历史材料与制度文件构建为可语义检索的知识库，经验积累不再依赖个人记忆。</w:t>
      </w:r>
    </w:p>
    <w:p w14:paraId="24F8663C">
      <w:pPr>
        <w:spacing w:after="40" w:line="312" w:lineRule="auto"/>
        <w:ind w:left="480" w:hanging="240"/>
        <w:jc w:val="both"/>
      </w:pPr>
      <w:r>
        <w:rPr>
          <w:rFonts w:ascii="Times New Roman" w:eastAsia="宋体"/>
          <w:color w:val="182030"/>
          <w:sz w:val="24"/>
          <w:szCs w:val="24"/>
        </w:rPr>
        <w:t>· 产出一体化。分析结论可直接转化为图表与 Word 文档，减少二次整理工作。</w:t>
      </w:r>
    </w:p>
    <w:p w14:paraId="7BC40EBF">
      <w:pPr>
        <w:spacing w:after="40" w:line="312" w:lineRule="auto"/>
        <w:ind w:left="480" w:hanging="240"/>
        <w:jc w:val="both"/>
      </w:pPr>
      <w:r>
        <w:rPr>
          <w:rFonts w:ascii="Times New Roman" w:eastAsia="宋体"/>
          <w:color w:val="182030"/>
          <w:sz w:val="24"/>
          <w:szCs w:val="24"/>
        </w:rPr>
        <w:t>· 数据安全有保障。账号与案件两级隔离，全内网离线部署，满足警务数据的管理要求。</w:t>
      </w:r>
    </w:p>
    <w:p w14:paraId="55921948">
      <w:pPr>
        <w:pStyle w:val="3"/>
        <w:spacing w:before="280" w:after="120" w:line="345" w:lineRule="atLeast"/>
      </w:pPr>
      <w:bookmarkStart w:id="35" w:name="_Toc36"/>
      <w:r>
        <w:rPr>
          <w:rFonts w:ascii="Times New Roman" w:eastAsia="黑体"/>
          <w:b/>
          <w:bCs/>
          <w:color w:val="1284BA"/>
          <w:sz w:val="30"/>
          <w:szCs w:val="30"/>
        </w:rPr>
        <w:t>7.3 模型资源的分配方式</w:t>
      </w:r>
      <w:bookmarkEnd w:id="35"/>
    </w:p>
    <w:p w14:paraId="5CAD4EA3">
      <w:pPr>
        <w:spacing w:after="60" w:line="312" w:lineRule="auto"/>
        <w:ind w:firstLine="480"/>
        <w:jc w:val="both"/>
      </w:pPr>
      <w:r>
        <w:rPr>
          <w:rFonts w:ascii="Times New Roman" w:eastAsia="宋体"/>
          <w:color w:val="182030"/>
          <w:sz w:val="24"/>
          <w:szCs w:val="24"/>
        </w:rPr>
        <w:t>平台不设置全局的「默认对话模型」。在多账号环境下，一个全局默认意味着某个账号可能在不经意间使用到并非为其开通的模型。平台改为按账号授权：在每个账号被允许使用的模型范围内自动选择一个作为起点，民警可以在授权范围内随时切换。这使模型资源的分配与账号权限保持一致，也便于按账号核算用量。</w:t>
      </w:r>
    </w:p>
    <w:p w14:paraId="7AFFBD06">
      <w:pPr>
        <w:pStyle w:val="3"/>
        <w:spacing w:before="280" w:after="120" w:line="345" w:lineRule="atLeast"/>
      </w:pPr>
      <w:bookmarkStart w:id="36" w:name="_Toc37"/>
      <w:r>
        <w:rPr>
          <w:rFonts w:ascii="Times New Roman" w:eastAsia="黑体"/>
          <w:b/>
          <w:bCs/>
          <w:color w:val="1284BA"/>
          <w:sz w:val="30"/>
          <w:szCs w:val="30"/>
        </w:rPr>
        <w:t>7.4 后续演进方向</w:t>
      </w:r>
      <w:bookmarkEnd w:id="36"/>
    </w:p>
    <w:p w14:paraId="5713C766">
      <w:pPr>
        <w:spacing w:after="60" w:line="312" w:lineRule="auto"/>
        <w:ind w:firstLine="480"/>
        <w:jc w:val="both"/>
        <w:rPr>
          <w:rFonts w:ascii="Times New Roman" w:eastAsia="宋体"/>
          <w:color w:val="182030"/>
          <w:sz w:val="24"/>
          <w:szCs w:val="24"/>
        </w:rPr>
      </w:pPr>
      <w:r>
        <w:rPr>
          <w:rFonts w:ascii="Times New Roman" w:eastAsia="宋体"/>
          <w:color w:val="182030"/>
          <w:sz w:val="24"/>
          <w:szCs w:val="24"/>
        </w:rPr>
        <w:t>在当前基础上，平台后续可从以下方向继续增强：</w:t>
      </w:r>
    </w:p>
    <w:p w14:paraId="6191D14A">
      <w:pPr>
        <w:spacing w:after="60" w:line="312" w:lineRule="auto"/>
        <w:ind w:firstLine="480"/>
        <w:jc w:val="both"/>
        <w:rPr>
          <w:rFonts w:ascii="Times New Roman" w:eastAsia="宋体"/>
          <w:color w:val="182030"/>
          <w:sz w:val="24"/>
          <w:szCs w:val="24"/>
        </w:rPr>
      </w:pPr>
    </w:p>
    <w:p w14:paraId="4278FD63">
      <w:pPr>
        <w:spacing w:after="60" w:line="312" w:lineRule="auto"/>
        <w:ind w:firstLine="480"/>
        <w:jc w:val="both"/>
        <w:rPr>
          <w:rFonts w:ascii="Times New Roman" w:eastAsia="宋体"/>
          <w:color w:val="182030"/>
          <w:sz w:val="24"/>
          <w:szCs w:val="24"/>
        </w:rPr>
      </w:pP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798"/>
        <w:gridCol w:w="4134"/>
        <w:gridCol w:w="3056"/>
      </w:tblGrid>
      <w:tr w14:paraId="2A05BE27">
        <w:trPr>
          <w:cantSplit/>
          <w:tblHeader/>
        </w:trPr>
        <w:tc>
          <w:tcPr>
            <w:tcW w:w="1000" w:type="pct"/>
            <w:shd w:val="clear" w:color="auto" w:fill="1284BA"/>
            <w:tcMar>
              <w:top w:w="60" w:type="dxa"/>
              <w:left w:w="100" w:type="dxa"/>
              <w:bottom w:w="60" w:type="dxa"/>
              <w:right w:w="100" w:type="dxa"/>
            </w:tcMar>
            <w:vAlign w:val="center"/>
          </w:tcPr>
          <w:p w14:paraId="4633066E">
            <w:pPr>
              <w:spacing w:line="312" w:lineRule="auto"/>
            </w:pPr>
            <w:r>
              <w:rPr>
                <w:rFonts w:ascii="Times New Roman" w:eastAsia="宋体"/>
                <w:b/>
                <w:bCs/>
                <w:color w:val="FFFFFF"/>
                <w:sz w:val="21"/>
                <w:szCs w:val="21"/>
              </w:rPr>
              <w:t>方向</w:t>
            </w:r>
          </w:p>
        </w:tc>
        <w:tc>
          <w:tcPr>
            <w:tcW w:w="2300" w:type="pct"/>
            <w:shd w:val="clear" w:color="auto" w:fill="1284BA"/>
            <w:tcMar>
              <w:top w:w="60" w:type="dxa"/>
              <w:left w:w="100" w:type="dxa"/>
              <w:bottom w:w="60" w:type="dxa"/>
              <w:right w:w="100" w:type="dxa"/>
            </w:tcMar>
            <w:vAlign w:val="center"/>
          </w:tcPr>
          <w:p w14:paraId="60EBF9FD">
            <w:pPr>
              <w:spacing w:line="312" w:lineRule="auto"/>
            </w:pPr>
            <w:r>
              <w:rPr>
                <w:rFonts w:ascii="Times New Roman" w:eastAsia="宋体"/>
                <w:b/>
                <w:bCs/>
                <w:color w:val="FFFFFF"/>
                <w:sz w:val="21"/>
                <w:szCs w:val="21"/>
              </w:rPr>
              <w:t>内容</w:t>
            </w:r>
          </w:p>
        </w:tc>
        <w:tc>
          <w:tcPr>
            <w:tcW w:w="1700" w:type="pct"/>
            <w:shd w:val="clear" w:color="auto" w:fill="1284BA"/>
            <w:tcMar>
              <w:top w:w="60" w:type="dxa"/>
              <w:left w:w="100" w:type="dxa"/>
              <w:bottom w:w="60" w:type="dxa"/>
              <w:right w:w="100" w:type="dxa"/>
            </w:tcMar>
            <w:vAlign w:val="center"/>
          </w:tcPr>
          <w:p w14:paraId="4DEFEE4F">
            <w:pPr>
              <w:spacing w:line="312" w:lineRule="auto"/>
            </w:pPr>
            <w:r>
              <w:rPr>
                <w:rFonts w:ascii="Times New Roman" w:eastAsia="宋体"/>
                <w:b/>
                <w:bCs/>
                <w:color w:val="FFFFFF"/>
                <w:sz w:val="21"/>
                <w:szCs w:val="21"/>
              </w:rPr>
              <w:t>价值</w:t>
            </w:r>
          </w:p>
        </w:tc>
      </w:tr>
      <w:tr w14:paraId="007B8597">
        <w:trPr>
          <w:cantSplit/>
        </w:trPr>
        <w:tc>
          <w:tcPr>
            <w:tcW w:w="1000" w:type="pct"/>
            <w:tcMar>
              <w:top w:w="60" w:type="dxa"/>
              <w:left w:w="100" w:type="dxa"/>
              <w:bottom w:w="60" w:type="dxa"/>
              <w:right w:w="100" w:type="dxa"/>
            </w:tcMar>
            <w:vAlign w:val="center"/>
          </w:tcPr>
          <w:p w14:paraId="0660BCF4">
            <w:pPr>
              <w:spacing w:line="312" w:lineRule="auto"/>
            </w:pPr>
            <w:r>
              <w:rPr>
                <w:rFonts w:ascii="Times New Roman" w:eastAsia="宋体"/>
                <w:b w:val="0"/>
                <w:bCs w:val="0"/>
                <w:color w:val="182030"/>
                <w:sz w:val="21"/>
                <w:szCs w:val="21"/>
              </w:rPr>
              <w:t>数据源扩展</w:t>
            </w:r>
          </w:p>
        </w:tc>
        <w:tc>
          <w:tcPr>
            <w:tcW w:w="2300" w:type="pct"/>
            <w:tcMar>
              <w:top w:w="60" w:type="dxa"/>
              <w:left w:w="100" w:type="dxa"/>
              <w:bottom w:w="60" w:type="dxa"/>
              <w:right w:w="100" w:type="dxa"/>
            </w:tcMar>
            <w:vAlign w:val="center"/>
          </w:tcPr>
          <w:p w14:paraId="2E280287">
            <w:pPr>
              <w:spacing w:line="312" w:lineRule="auto"/>
            </w:pPr>
            <w:r>
              <w:rPr>
                <w:rFonts w:ascii="Times New Roman" w:eastAsia="宋体"/>
                <w:b w:val="0"/>
                <w:bCs w:val="0"/>
                <w:color w:val="182030"/>
                <w:sz w:val="21"/>
                <w:szCs w:val="21"/>
              </w:rPr>
              <w:t>接入更多业务系统与外部数据源，扩大可协同核查的范围</w:t>
            </w:r>
          </w:p>
        </w:tc>
        <w:tc>
          <w:tcPr>
            <w:tcW w:w="1700" w:type="pct"/>
            <w:tcMar>
              <w:top w:w="60" w:type="dxa"/>
              <w:left w:w="100" w:type="dxa"/>
              <w:bottom w:w="60" w:type="dxa"/>
              <w:right w:w="100" w:type="dxa"/>
            </w:tcMar>
            <w:vAlign w:val="center"/>
          </w:tcPr>
          <w:p w14:paraId="226B9347">
            <w:pPr>
              <w:spacing w:line="312" w:lineRule="auto"/>
            </w:pPr>
            <w:r>
              <w:rPr>
                <w:rFonts w:ascii="Times New Roman" w:eastAsia="宋体"/>
                <w:b w:val="0"/>
                <w:bCs w:val="0"/>
                <w:color w:val="182030"/>
                <w:sz w:val="21"/>
                <w:szCs w:val="21"/>
              </w:rPr>
              <w:t>进一步提升跨源关联分析的覆盖面</w:t>
            </w:r>
          </w:p>
        </w:tc>
      </w:tr>
      <w:tr w14:paraId="7895AD65">
        <w:trPr>
          <w:cantSplit/>
        </w:trPr>
        <w:tc>
          <w:tcPr>
            <w:tcW w:w="1000" w:type="pct"/>
            <w:tcMar>
              <w:top w:w="60" w:type="dxa"/>
              <w:left w:w="100" w:type="dxa"/>
              <w:bottom w:w="60" w:type="dxa"/>
              <w:right w:w="100" w:type="dxa"/>
            </w:tcMar>
            <w:vAlign w:val="center"/>
          </w:tcPr>
          <w:p w14:paraId="2BCEAA59">
            <w:pPr>
              <w:spacing w:line="312" w:lineRule="auto"/>
            </w:pPr>
            <w:r>
              <w:rPr>
                <w:rFonts w:ascii="Times New Roman" w:eastAsia="宋体"/>
                <w:b w:val="0"/>
                <w:bCs w:val="0"/>
                <w:color w:val="182030"/>
                <w:sz w:val="21"/>
                <w:szCs w:val="21"/>
              </w:rPr>
              <w:t>模型能力升级</w:t>
            </w:r>
          </w:p>
        </w:tc>
        <w:tc>
          <w:tcPr>
            <w:tcW w:w="2300" w:type="pct"/>
            <w:tcMar>
              <w:top w:w="60" w:type="dxa"/>
              <w:left w:w="100" w:type="dxa"/>
              <w:bottom w:w="60" w:type="dxa"/>
              <w:right w:w="100" w:type="dxa"/>
            </w:tcMar>
            <w:vAlign w:val="center"/>
          </w:tcPr>
          <w:p w14:paraId="642358BC">
            <w:pPr>
              <w:spacing w:line="312" w:lineRule="auto"/>
            </w:pPr>
            <w:r>
              <w:rPr>
                <w:rFonts w:ascii="Times New Roman" w:eastAsia="宋体"/>
                <w:b w:val="0"/>
                <w:bCs w:val="0"/>
                <w:color w:val="182030"/>
                <w:sz w:val="21"/>
                <w:szCs w:val="21"/>
              </w:rPr>
              <w:t>支持更大参数规模与多模态模型，提升长文档与图像材料理解能力</w:t>
            </w:r>
          </w:p>
        </w:tc>
        <w:tc>
          <w:tcPr>
            <w:tcW w:w="1700" w:type="pct"/>
            <w:tcMar>
              <w:top w:w="60" w:type="dxa"/>
              <w:left w:w="100" w:type="dxa"/>
              <w:bottom w:w="60" w:type="dxa"/>
              <w:right w:w="100" w:type="dxa"/>
            </w:tcMar>
            <w:vAlign w:val="center"/>
          </w:tcPr>
          <w:p w14:paraId="099ECC4D">
            <w:pPr>
              <w:spacing w:line="312" w:lineRule="auto"/>
            </w:pPr>
            <w:r>
              <w:rPr>
                <w:rFonts w:ascii="Times New Roman" w:eastAsia="宋体"/>
                <w:b w:val="0"/>
                <w:bCs w:val="0"/>
                <w:color w:val="182030"/>
                <w:sz w:val="21"/>
                <w:szCs w:val="21"/>
              </w:rPr>
              <w:t>改善复杂材料的解析质量</w:t>
            </w:r>
          </w:p>
        </w:tc>
      </w:tr>
      <w:tr w14:paraId="5DFDA5E3">
        <w:trPr>
          <w:cantSplit/>
        </w:trPr>
        <w:tc>
          <w:tcPr>
            <w:tcW w:w="1000" w:type="pct"/>
            <w:tcMar>
              <w:top w:w="60" w:type="dxa"/>
              <w:left w:w="100" w:type="dxa"/>
              <w:bottom w:w="60" w:type="dxa"/>
              <w:right w:w="100" w:type="dxa"/>
            </w:tcMar>
            <w:vAlign w:val="center"/>
          </w:tcPr>
          <w:p w14:paraId="1C3C9BC8">
            <w:pPr>
              <w:spacing w:line="312" w:lineRule="auto"/>
            </w:pPr>
            <w:r>
              <w:rPr>
                <w:rFonts w:ascii="Times New Roman" w:eastAsia="宋体"/>
                <w:b w:val="0"/>
                <w:bCs w:val="0"/>
                <w:color w:val="182030"/>
                <w:sz w:val="21"/>
                <w:szCs w:val="21"/>
              </w:rPr>
              <w:t>图谱深化</w:t>
            </w:r>
          </w:p>
        </w:tc>
        <w:tc>
          <w:tcPr>
            <w:tcW w:w="2300" w:type="pct"/>
            <w:tcMar>
              <w:top w:w="60" w:type="dxa"/>
              <w:left w:w="100" w:type="dxa"/>
              <w:bottom w:w="60" w:type="dxa"/>
              <w:right w:w="100" w:type="dxa"/>
            </w:tcMar>
            <w:vAlign w:val="center"/>
          </w:tcPr>
          <w:p w14:paraId="55E7B9B9">
            <w:pPr>
              <w:spacing w:line="312" w:lineRule="auto"/>
            </w:pPr>
            <w:r>
              <w:rPr>
                <w:rFonts w:ascii="Times New Roman" w:eastAsia="宋体"/>
                <w:b w:val="0"/>
                <w:bCs w:val="0"/>
                <w:color w:val="182030"/>
                <w:sz w:val="21"/>
                <w:szCs w:val="21"/>
              </w:rPr>
              <w:t>强化实体关系抽取与多跳推理，并在案件之间形成可控的关联视图</w:t>
            </w:r>
          </w:p>
        </w:tc>
        <w:tc>
          <w:tcPr>
            <w:tcW w:w="1700" w:type="pct"/>
            <w:tcMar>
              <w:top w:w="60" w:type="dxa"/>
              <w:left w:w="100" w:type="dxa"/>
              <w:bottom w:w="60" w:type="dxa"/>
              <w:right w:w="100" w:type="dxa"/>
            </w:tcMar>
            <w:vAlign w:val="center"/>
          </w:tcPr>
          <w:p w14:paraId="7D1E57B3">
            <w:pPr>
              <w:spacing w:line="312" w:lineRule="auto"/>
            </w:pPr>
            <w:r>
              <w:rPr>
                <w:rFonts w:ascii="Times New Roman" w:eastAsia="宋体"/>
                <w:b w:val="0"/>
                <w:bCs w:val="0"/>
                <w:color w:val="182030"/>
                <w:sz w:val="21"/>
                <w:szCs w:val="21"/>
              </w:rPr>
              <w:t>发现更深层的隐性关联</w:t>
            </w:r>
          </w:p>
        </w:tc>
      </w:tr>
      <w:tr w14:paraId="7B927869">
        <w:trPr>
          <w:cantSplit/>
        </w:trPr>
        <w:tc>
          <w:tcPr>
            <w:tcW w:w="1000" w:type="pct"/>
            <w:tcMar>
              <w:top w:w="60" w:type="dxa"/>
              <w:left w:w="100" w:type="dxa"/>
              <w:bottom w:w="60" w:type="dxa"/>
              <w:right w:w="100" w:type="dxa"/>
            </w:tcMar>
            <w:vAlign w:val="center"/>
          </w:tcPr>
          <w:p w14:paraId="417C6229">
            <w:pPr>
              <w:spacing w:line="312" w:lineRule="auto"/>
            </w:pPr>
            <w:r>
              <w:rPr>
                <w:rFonts w:ascii="Times New Roman" w:eastAsia="宋体"/>
                <w:b w:val="0"/>
                <w:bCs w:val="0"/>
                <w:color w:val="182030"/>
                <w:sz w:val="21"/>
                <w:szCs w:val="21"/>
              </w:rPr>
              <w:t>执行环境加固</w:t>
            </w:r>
          </w:p>
        </w:tc>
        <w:tc>
          <w:tcPr>
            <w:tcW w:w="2300" w:type="pct"/>
            <w:tcMar>
              <w:top w:w="60" w:type="dxa"/>
              <w:left w:w="100" w:type="dxa"/>
              <w:bottom w:w="60" w:type="dxa"/>
              <w:right w:w="100" w:type="dxa"/>
            </w:tcMar>
            <w:vAlign w:val="center"/>
          </w:tcPr>
          <w:p w14:paraId="1BFF8EE3">
            <w:pPr>
              <w:spacing w:line="312" w:lineRule="auto"/>
            </w:pPr>
            <w:r>
              <w:rPr>
                <w:rFonts w:ascii="Times New Roman" w:eastAsia="宋体"/>
                <w:b w:val="0"/>
                <w:bCs w:val="0"/>
                <w:color w:val="182030"/>
                <w:sz w:val="21"/>
                <w:szCs w:val="21"/>
              </w:rPr>
              <w:t>在容器内启用系统级沙箱，对代码执行类能力实施更严格的资源与访问限制</w:t>
            </w:r>
          </w:p>
        </w:tc>
        <w:tc>
          <w:tcPr>
            <w:tcW w:w="1700" w:type="pct"/>
            <w:tcMar>
              <w:top w:w="60" w:type="dxa"/>
              <w:left w:w="100" w:type="dxa"/>
              <w:bottom w:w="60" w:type="dxa"/>
              <w:right w:w="100" w:type="dxa"/>
            </w:tcMar>
            <w:vAlign w:val="center"/>
          </w:tcPr>
          <w:p w14:paraId="650839F4">
            <w:pPr>
              <w:spacing w:line="312" w:lineRule="auto"/>
            </w:pPr>
            <w:r>
              <w:rPr>
                <w:rFonts w:ascii="Times New Roman" w:eastAsia="宋体"/>
                <w:b w:val="0"/>
                <w:bCs w:val="0"/>
                <w:color w:val="182030"/>
                <w:sz w:val="21"/>
                <w:szCs w:val="21"/>
              </w:rPr>
              <w:t>进一步收紧残余风险</w:t>
            </w:r>
          </w:p>
        </w:tc>
      </w:tr>
      <w:tr w14:paraId="5D68487A">
        <w:trPr>
          <w:cantSplit/>
        </w:trPr>
        <w:tc>
          <w:tcPr>
            <w:tcW w:w="1000" w:type="pct"/>
            <w:tcMar>
              <w:top w:w="60" w:type="dxa"/>
              <w:left w:w="100" w:type="dxa"/>
              <w:bottom w:w="60" w:type="dxa"/>
              <w:right w:w="100" w:type="dxa"/>
            </w:tcMar>
            <w:vAlign w:val="center"/>
          </w:tcPr>
          <w:p w14:paraId="399A7978">
            <w:pPr>
              <w:spacing w:line="312" w:lineRule="auto"/>
            </w:pPr>
            <w:r>
              <w:rPr>
                <w:rFonts w:ascii="Times New Roman" w:eastAsia="宋体"/>
                <w:b w:val="0"/>
                <w:bCs w:val="0"/>
                <w:color w:val="182030"/>
                <w:sz w:val="21"/>
                <w:szCs w:val="21"/>
              </w:rPr>
              <w:t>算力扩容</w:t>
            </w:r>
          </w:p>
        </w:tc>
        <w:tc>
          <w:tcPr>
            <w:tcW w:w="2300" w:type="pct"/>
            <w:tcMar>
              <w:top w:w="60" w:type="dxa"/>
              <w:left w:w="100" w:type="dxa"/>
              <w:bottom w:w="60" w:type="dxa"/>
              <w:right w:w="100" w:type="dxa"/>
            </w:tcMar>
            <w:vAlign w:val="center"/>
          </w:tcPr>
          <w:p w14:paraId="335AFE49">
            <w:pPr>
              <w:spacing w:line="312" w:lineRule="auto"/>
            </w:pPr>
            <w:r>
              <w:rPr>
                <w:rFonts w:ascii="Times New Roman" w:eastAsia="宋体"/>
                <w:b w:val="0"/>
                <w:bCs w:val="0"/>
                <w:color w:val="182030"/>
                <w:sz w:val="21"/>
                <w:szCs w:val="21"/>
              </w:rPr>
              <w:t>增加算力，提升多用户并发使用体验</w:t>
            </w:r>
          </w:p>
        </w:tc>
        <w:tc>
          <w:tcPr>
            <w:tcW w:w="1700" w:type="pct"/>
            <w:tcMar>
              <w:top w:w="60" w:type="dxa"/>
              <w:left w:w="100" w:type="dxa"/>
              <w:bottom w:w="60" w:type="dxa"/>
              <w:right w:w="100" w:type="dxa"/>
            </w:tcMar>
            <w:vAlign w:val="center"/>
          </w:tcPr>
          <w:p w14:paraId="0924CB4B">
            <w:pPr>
              <w:spacing w:line="312" w:lineRule="auto"/>
            </w:pPr>
            <w:r>
              <w:rPr>
                <w:rFonts w:ascii="Times New Roman" w:eastAsia="宋体"/>
                <w:b w:val="0"/>
                <w:bCs w:val="0"/>
                <w:color w:val="182030"/>
                <w:sz w:val="21"/>
                <w:szCs w:val="21"/>
              </w:rPr>
              <w:t>支撑更大规模并发使用</w:t>
            </w:r>
          </w:p>
        </w:tc>
      </w:tr>
    </w:tbl>
    <w:p w14:paraId="533CC4BF">
      <w:pPr>
        <w:spacing w:before="60" w:after="240" w:line="312" w:lineRule="auto"/>
        <w:jc w:val="center"/>
      </w:pPr>
      <w:r>
        <w:rPr>
          <w:rFonts w:ascii="Times New Roman" w:eastAsia="宋体"/>
          <w:color w:val="606060"/>
          <w:sz w:val="21"/>
          <w:szCs w:val="21"/>
        </w:rPr>
        <w:t>表 7-1 后续演进方向</w:t>
      </w:r>
    </w:p>
    <w:p w14:paraId="76943991">
      <w:pPr>
        <w:spacing w:after="60" w:line="312" w:lineRule="auto"/>
        <w:ind w:firstLine="480"/>
        <w:jc w:val="both"/>
      </w:pPr>
      <w:r>
        <w:rPr>
          <w:rFonts w:ascii="Times New Roman" w:eastAsia="宋体"/>
          <w:color w:val="182030"/>
          <w:sz w:val="24"/>
          <w:szCs w:val="24"/>
        </w:rPr>
        <w:t>总体而言，本平台通过智能体技术与知识库能力的结合，为警务数据核查与分析提供了一条可行且安全的技术路径。其价值不仅在于把现有流程自动化，更在于让不具备技术背景的一线民警，第一次能够直接使用大数据分析能力，这是技术对实战能力的一次实质性增强。</w:t>
      </w:r>
    </w:p>
    <w:p w14:paraId="3E9BA8AA">
      <w:pPr>
        <w:pStyle w:val="2"/>
        <w:pageBreakBefore/>
        <w:spacing w:before="360" w:after="160" w:line="368" w:lineRule="atLeast"/>
      </w:pPr>
      <w:bookmarkStart w:id="37" w:name="_Toc38"/>
      <w:r>
        <w:rPr>
          <w:rFonts w:ascii="Times New Roman" w:eastAsia="黑体"/>
          <w:b/>
          <w:bCs/>
          <w:color w:val="1284BA"/>
          <w:sz w:val="32"/>
          <w:szCs w:val="32"/>
        </w:rPr>
        <w:t>附录 关键技术参数速查</w:t>
      </w:r>
      <w:bookmarkEnd w:id="37"/>
    </w:p>
    <w:p w14:paraId="578FF45C">
      <w:pPr>
        <w:keepNext/>
        <w:spacing w:before="160" w:line="312" w:lineRule="auto"/>
      </w:pPr>
      <w:r>
        <w:rPr>
          <w:rFonts w:ascii="Times New Roman" w:eastAsia="宋体"/>
          <w:b/>
          <w:bCs/>
          <w:color w:val="1284BA"/>
          <w:sz w:val="21"/>
          <w:szCs w:val="21"/>
        </w:rPr>
        <w:t>表 A-1 平台关键技术参数</w:t>
      </w:r>
    </w:p>
    <w:tbl>
      <w:tblPr>
        <w:tblStyle w:val="14"/>
        <w:tblW w:w="5000" w:type="pct"/>
        <w:tblInd w:w="0" w:type="dxa"/>
        <w:tblBorders>
          <w:top w:val="single" w:color="D8E4EC" w:sz="4" w:space="0"/>
          <w:left w:val="single" w:color="D8E4EC" w:sz="4" w:space="0"/>
          <w:bottom w:val="single" w:color="D8E4EC" w:sz="4" w:space="0"/>
          <w:right w:val="single" w:color="D8E4EC" w:sz="4" w:space="0"/>
          <w:insideH w:val="single" w:color="D8E4EC" w:sz="4" w:space="0"/>
          <w:insideV w:val="single" w:color="D8E4EC" w:sz="4" w:space="0"/>
        </w:tblBorders>
        <w:tblLayout w:type="fixed"/>
        <w:tblCellMar>
          <w:top w:w="0" w:type="dxa"/>
          <w:left w:w="108" w:type="dxa"/>
          <w:bottom w:w="0" w:type="dxa"/>
          <w:right w:w="108" w:type="dxa"/>
        </w:tblCellMar>
      </w:tblPr>
      <w:tblGrid>
        <w:gridCol w:w="1618"/>
        <w:gridCol w:w="4224"/>
        <w:gridCol w:w="3146"/>
      </w:tblGrid>
      <w:tr w14:paraId="72D5B8D0">
        <w:trPr>
          <w:cantSplit/>
          <w:tblHeader/>
        </w:trPr>
        <w:tc>
          <w:tcPr>
            <w:tcW w:w="900" w:type="pct"/>
            <w:shd w:val="clear" w:color="auto" w:fill="1284BA"/>
            <w:tcMar>
              <w:top w:w="60" w:type="dxa"/>
              <w:left w:w="100" w:type="dxa"/>
              <w:bottom w:w="60" w:type="dxa"/>
              <w:right w:w="100" w:type="dxa"/>
            </w:tcMar>
            <w:vAlign w:val="center"/>
          </w:tcPr>
          <w:p w14:paraId="66C20BD4">
            <w:pPr>
              <w:spacing w:line="312" w:lineRule="auto"/>
            </w:pPr>
            <w:r>
              <w:rPr>
                <w:rFonts w:ascii="Times New Roman" w:eastAsia="宋体"/>
                <w:b/>
                <w:bCs/>
                <w:color w:val="FFFFFF"/>
                <w:sz w:val="21"/>
                <w:szCs w:val="21"/>
              </w:rPr>
              <w:t>类别</w:t>
            </w:r>
          </w:p>
        </w:tc>
        <w:tc>
          <w:tcPr>
            <w:tcW w:w="2350" w:type="pct"/>
            <w:shd w:val="clear" w:color="auto" w:fill="1284BA"/>
            <w:tcMar>
              <w:top w:w="60" w:type="dxa"/>
              <w:left w:w="100" w:type="dxa"/>
              <w:bottom w:w="60" w:type="dxa"/>
              <w:right w:w="100" w:type="dxa"/>
            </w:tcMar>
            <w:vAlign w:val="center"/>
          </w:tcPr>
          <w:p w14:paraId="25A05381">
            <w:pPr>
              <w:spacing w:line="312" w:lineRule="auto"/>
            </w:pPr>
            <w:r>
              <w:rPr>
                <w:rFonts w:ascii="Times New Roman" w:eastAsia="宋体"/>
                <w:b/>
                <w:bCs/>
                <w:color w:val="FFFFFF"/>
                <w:sz w:val="21"/>
                <w:szCs w:val="21"/>
              </w:rPr>
              <w:t>参数</w:t>
            </w:r>
          </w:p>
        </w:tc>
        <w:tc>
          <w:tcPr>
            <w:tcW w:w="1750" w:type="pct"/>
            <w:shd w:val="clear" w:color="auto" w:fill="1284BA"/>
            <w:tcMar>
              <w:top w:w="60" w:type="dxa"/>
              <w:left w:w="100" w:type="dxa"/>
              <w:bottom w:w="60" w:type="dxa"/>
              <w:right w:w="100" w:type="dxa"/>
            </w:tcMar>
            <w:vAlign w:val="center"/>
          </w:tcPr>
          <w:p w14:paraId="1F61519B">
            <w:pPr>
              <w:spacing w:line="312" w:lineRule="auto"/>
            </w:pPr>
            <w:r>
              <w:rPr>
                <w:rFonts w:ascii="Times New Roman" w:eastAsia="宋体"/>
                <w:b/>
                <w:bCs/>
                <w:color w:val="FFFFFF"/>
                <w:sz w:val="21"/>
                <w:szCs w:val="21"/>
              </w:rPr>
              <w:t>取值</w:t>
            </w:r>
          </w:p>
        </w:tc>
      </w:tr>
      <w:tr w14:paraId="73B15A7F">
        <w:trPr>
          <w:cantSplit/>
        </w:trPr>
        <w:tc>
          <w:tcPr>
            <w:tcW w:w="900" w:type="pct"/>
            <w:tcMar>
              <w:top w:w="60" w:type="dxa"/>
              <w:left w:w="100" w:type="dxa"/>
              <w:bottom w:w="60" w:type="dxa"/>
              <w:right w:w="100" w:type="dxa"/>
            </w:tcMar>
            <w:vAlign w:val="center"/>
          </w:tcPr>
          <w:p w14:paraId="19BD7BF2">
            <w:pPr>
              <w:spacing w:line="312" w:lineRule="auto"/>
            </w:pPr>
            <w:r>
              <w:rPr>
                <w:rFonts w:ascii="Times New Roman" w:eastAsia="宋体"/>
                <w:b w:val="0"/>
                <w:bCs w:val="0"/>
                <w:color w:val="182030"/>
                <w:sz w:val="21"/>
                <w:szCs w:val="21"/>
              </w:rPr>
              <w:t>模型推理</w:t>
            </w:r>
          </w:p>
        </w:tc>
        <w:tc>
          <w:tcPr>
            <w:tcW w:w="2350" w:type="pct"/>
            <w:tcMar>
              <w:top w:w="60" w:type="dxa"/>
              <w:left w:w="100" w:type="dxa"/>
              <w:bottom w:w="60" w:type="dxa"/>
              <w:right w:w="100" w:type="dxa"/>
            </w:tcMar>
            <w:vAlign w:val="center"/>
          </w:tcPr>
          <w:p w14:paraId="663A9FF6">
            <w:pPr>
              <w:spacing w:line="312" w:lineRule="auto"/>
            </w:pPr>
            <w:r>
              <w:rPr>
                <w:rFonts w:ascii="Times New Roman" w:eastAsia="宋体"/>
                <w:b w:val="0"/>
                <w:bCs w:val="0"/>
                <w:color w:val="182030"/>
                <w:sz w:val="21"/>
                <w:szCs w:val="21"/>
              </w:rPr>
              <w:t>单次对话最大推理轮次</w:t>
            </w:r>
          </w:p>
        </w:tc>
        <w:tc>
          <w:tcPr>
            <w:tcW w:w="1750" w:type="pct"/>
            <w:tcMar>
              <w:top w:w="60" w:type="dxa"/>
              <w:left w:w="100" w:type="dxa"/>
              <w:bottom w:w="60" w:type="dxa"/>
              <w:right w:w="100" w:type="dxa"/>
            </w:tcMar>
            <w:vAlign w:val="center"/>
          </w:tcPr>
          <w:p w14:paraId="6722E4DA">
            <w:pPr>
              <w:spacing w:line="312" w:lineRule="auto"/>
            </w:pPr>
            <w:r>
              <w:rPr>
                <w:rFonts w:ascii="Times New Roman" w:eastAsia="宋体"/>
                <w:b w:val="0"/>
                <w:bCs w:val="0"/>
                <w:color w:val="182030"/>
                <w:sz w:val="21"/>
                <w:szCs w:val="21"/>
              </w:rPr>
              <w:t>100 轮</w:t>
            </w:r>
          </w:p>
        </w:tc>
      </w:tr>
      <w:tr w14:paraId="22B79717">
        <w:trPr>
          <w:cantSplit/>
        </w:trPr>
        <w:tc>
          <w:tcPr>
            <w:tcW w:w="900" w:type="pct"/>
            <w:tcMar>
              <w:top w:w="60" w:type="dxa"/>
              <w:left w:w="100" w:type="dxa"/>
              <w:bottom w:w="60" w:type="dxa"/>
              <w:right w:w="100" w:type="dxa"/>
            </w:tcMar>
            <w:vAlign w:val="center"/>
          </w:tcPr>
          <w:p w14:paraId="4DB5498F">
            <w:pPr>
              <w:spacing w:line="312" w:lineRule="auto"/>
            </w:pPr>
            <w:r>
              <w:rPr>
                <w:rFonts w:ascii="Times New Roman" w:eastAsia="宋体"/>
                <w:b w:val="0"/>
                <w:bCs w:val="0"/>
                <w:color w:val="182030"/>
                <w:sz w:val="21"/>
                <w:szCs w:val="21"/>
              </w:rPr>
              <w:t>模型推理</w:t>
            </w:r>
          </w:p>
        </w:tc>
        <w:tc>
          <w:tcPr>
            <w:tcW w:w="2350" w:type="pct"/>
            <w:tcMar>
              <w:top w:w="60" w:type="dxa"/>
              <w:left w:w="100" w:type="dxa"/>
              <w:bottom w:w="60" w:type="dxa"/>
              <w:right w:w="100" w:type="dxa"/>
            </w:tcMar>
            <w:vAlign w:val="center"/>
          </w:tcPr>
          <w:p w14:paraId="297DF121">
            <w:pPr>
              <w:spacing w:line="312" w:lineRule="auto"/>
            </w:pPr>
            <w:r>
              <w:rPr>
                <w:rFonts w:ascii="Times New Roman" w:eastAsia="宋体"/>
                <w:b w:val="0"/>
                <w:bCs w:val="0"/>
                <w:color w:val="182030"/>
                <w:sz w:val="21"/>
                <w:szCs w:val="21"/>
              </w:rPr>
              <w:t>模型调用全局并发上限</w:t>
            </w:r>
          </w:p>
        </w:tc>
        <w:tc>
          <w:tcPr>
            <w:tcW w:w="1750" w:type="pct"/>
            <w:tcMar>
              <w:top w:w="60" w:type="dxa"/>
              <w:left w:w="100" w:type="dxa"/>
              <w:bottom w:w="60" w:type="dxa"/>
              <w:right w:w="100" w:type="dxa"/>
            </w:tcMar>
            <w:vAlign w:val="center"/>
          </w:tcPr>
          <w:p w14:paraId="5F16907F">
            <w:pPr>
              <w:spacing w:line="312" w:lineRule="auto"/>
            </w:pPr>
            <w:r>
              <w:rPr>
                <w:rFonts w:ascii="Times New Roman" w:eastAsia="宋体"/>
                <w:b w:val="0"/>
                <w:bCs w:val="0"/>
                <w:color w:val="182030"/>
                <w:sz w:val="21"/>
                <w:szCs w:val="21"/>
              </w:rPr>
              <w:t>6（生产配置，可按算力调整）</w:t>
            </w:r>
          </w:p>
        </w:tc>
      </w:tr>
      <w:tr w14:paraId="5EDE50DE">
        <w:trPr>
          <w:cantSplit/>
        </w:trPr>
        <w:tc>
          <w:tcPr>
            <w:tcW w:w="900" w:type="pct"/>
            <w:tcMar>
              <w:top w:w="60" w:type="dxa"/>
              <w:left w:w="100" w:type="dxa"/>
              <w:bottom w:w="60" w:type="dxa"/>
              <w:right w:w="100" w:type="dxa"/>
            </w:tcMar>
            <w:vAlign w:val="center"/>
          </w:tcPr>
          <w:p w14:paraId="663519CB">
            <w:pPr>
              <w:spacing w:line="312" w:lineRule="auto"/>
            </w:pPr>
            <w:r>
              <w:rPr>
                <w:rFonts w:ascii="Times New Roman" w:eastAsia="宋体"/>
                <w:b w:val="0"/>
                <w:bCs w:val="0"/>
                <w:color w:val="182030"/>
                <w:sz w:val="21"/>
                <w:szCs w:val="21"/>
              </w:rPr>
              <w:t>流式输出</w:t>
            </w:r>
          </w:p>
        </w:tc>
        <w:tc>
          <w:tcPr>
            <w:tcW w:w="2350" w:type="pct"/>
            <w:tcMar>
              <w:top w:w="60" w:type="dxa"/>
              <w:left w:w="100" w:type="dxa"/>
              <w:bottom w:w="60" w:type="dxa"/>
              <w:right w:w="100" w:type="dxa"/>
            </w:tcMar>
            <w:vAlign w:val="center"/>
          </w:tcPr>
          <w:p w14:paraId="163BCC8B">
            <w:pPr>
              <w:spacing w:line="312" w:lineRule="auto"/>
            </w:pPr>
            <w:r>
              <w:rPr>
                <w:rFonts w:ascii="Times New Roman" w:eastAsia="宋体"/>
                <w:b w:val="0"/>
                <w:bCs w:val="0"/>
                <w:color w:val="182030"/>
                <w:sz w:val="21"/>
                <w:szCs w:val="21"/>
              </w:rPr>
              <w:t>传输层心跳间隔</w:t>
            </w:r>
          </w:p>
        </w:tc>
        <w:tc>
          <w:tcPr>
            <w:tcW w:w="1750" w:type="pct"/>
            <w:tcMar>
              <w:top w:w="60" w:type="dxa"/>
              <w:left w:w="100" w:type="dxa"/>
              <w:bottom w:w="60" w:type="dxa"/>
              <w:right w:w="100" w:type="dxa"/>
            </w:tcMar>
            <w:vAlign w:val="center"/>
          </w:tcPr>
          <w:p w14:paraId="3262ECC5">
            <w:pPr>
              <w:spacing w:line="312" w:lineRule="auto"/>
            </w:pPr>
            <w:r>
              <w:rPr>
                <w:rFonts w:ascii="Times New Roman" w:eastAsia="宋体"/>
                <w:b w:val="0"/>
                <w:bCs w:val="0"/>
                <w:color w:val="182030"/>
                <w:sz w:val="21"/>
                <w:szCs w:val="21"/>
              </w:rPr>
              <w:t>10 秒</w:t>
            </w:r>
          </w:p>
        </w:tc>
      </w:tr>
      <w:tr w14:paraId="24EC0280">
        <w:trPr>
          <w:cantSplit/>
        </w:trPr>
        <w:tc>
          <w:tcPr>
            <w:tcW w:w="900" w:type="pct"/>
            <w:tcMar>
              <w:top w:w="60" w:type="dxa"/>
              <w:left w:w="100" w:type="dxa"/>
              <w:bottom w:w="60" w:type="dxa"/>
              <w:right w:w="100" w:type="dxa"/>
            </w:tcMar>
            <w:vAlign w:val="center"/>
          </w:tcPr>
          <w:p w14:paraId="5E38475C">
            <w:pPr>
              <w:spacing w:line="312" w:lineRule="auto"/>
            </w:pPr>
            <w:r>
              <w:rPr>
                <w:rFonts w:ascii="Times New Roman" w:eastAsia="宋体"/>
                <w:b w:val="0"/>
                <w:bCs w:val="0"/>
                <w:color w:val="182030"/>
                <w:sz w:val="21"/>
                <w:szCs w:val="21"/>
              </w:rPr>
              <w:t>流式输出</w:t>
            </w:r>
          </w:p>
        </w:tc>
        <w:tc>
          <w:tcPr>
            <w:tcW w:w="2350" w:type="pct"/>
            <w:tcMar>
              <w:top w:w="60" w:type="dxa"/>
              <w:left w:w="100" w:type="dxa"/>
              <w:bottom w:w="60" w:type="dxa"/>
              <w:right w:w="100" w:type="dxa"/>
            </w:tcMar>
            <w:vAlign w:val="center"/>
          </w:tcPr>
          <w:p w14:paraId="0ABCDCE2">
            <w:pPr>
              <w:spacing w:line="312" w:lineRule="auto"/>
            </w:pPr>
            <w:r>
              <w:rPr>
                <w:rFonts w:ascii="Times New Roman" w:eastAsia="宋体"/>
                <w:b w:val="0"/>
                <w:bCs w:val="0"/>
                <w:color w:val="182030"/>
                <w:sz w:val="21"/>
                <w:szCs w:val="21"/>
              </w:rPr>
              <w:t>模型层心跳间隔</w:t>
            </w:r>
          </w:p>
        </w:tc>
        <w:tc>
          <w:tcPr>
            <w:tcW w:w="1750" w:type="pct"/>
            <w:tcMar>
              <w:top w:w="60" w:type="dxa"/>
              <w:left w:w="100" w:type="dxa"/>
              <w:bottom w:w="60" w:type="dxa"/>
              <w:right w:w="100" w:type="dxa"/>
            </w:tcMar>
            <w:vAlign w:val="center"/>
          </w:tcPr>
          <w:p w14:paraId="7EC80B78">
            <w:pPr>
              <w:spacing w:line="312" w:lineRule="auto"/>
            </w:pPr>
            <w:r>
              <w:rPr>
                <w:rFonts w:ascii="Times New Roman" w:eastAsia="宋体"/>
                <w:b w:val="0"/>
                <w:bCs w:val="0"/>
                <w:color w:val="182030"/>
                <w:sz w:val="21"/>
                <w:szCs w:val="21"/>
              </w:rPr>
              <w:t>25 秒</w:t>
            </w:r>
          </w:p>
        </w:tc>
      </w:tr>
      <w:tr w14:paraId="24ED9FDF">
        <w:trPr>
          <w:cantSplit/>
        </w:trPr>
        <w:tc>
          <w:tcPr>
            <w:tcW w:w="900" w:type="pct"/>
            <w:tcMar>
              <w:top w:w="60" w:type="dxa"/>
              <w:left w:w="100" w:type="dxa"/>
              <w:bottom w:w="60" w:type="dxa"/>
              <w:right w:w="100" w:type="dxa"/>
            </w:tcMar>
            <w:vAlign w:val="center"/>
          </w:tcPr>
          <w:p w14:paraId="1C1BF3DE">
            <w:pPr>
              <w:spacing w:line="312" w:lineRule="auto"/>
            </w:pPr>
            <w:r>
              <w:rPr>
                <w:rFonts w:ascii="Times New Roman" w:eastAsia="宋体"/>
                <w:b w:val="0"/>
                <w:bCs w:val="0"/>
                <w:color w:val="182030"/>
                <w:sz w:val="21"/>
                <w:szCs w:val="21"/>
              </w:rPr>
              <w:t>流式输出</w:t>
            </w:r>
          </w:p>
        </w:tc>
        <w:tc>
          <w:tcPr>
            <w:tcW w:w="2350" w:type="pct"/>
            <w:tcMar>
              <w:top w:w="60" w:type="dxa"/>
              <w:left w:w="100" w:type="dxa"/>
              <w:bottom w:w="60" w:type="dxa"/>
              <w:right w:w="100" w:type="dxa"/>
            </w:tcMar>
            <w:vAlign w:val="center"/>
          </w:tcPr>
          <w:p w14:paraId="47245645">
            <w:pPr>
              <w:spacing w:line="312" w:lineRule="auto"/>
            </w:pPr>
            <w:r>
              <w:rPr>
                <w:rFonts w:ascii="Times New Roman" w:eastAsia="宋体"/>
                <w:b w:val="0"/>
                <w:bCs w:val="0"/>
                <w:color w:val="182030"/>
                <w:sz w:val="21"/>
                <w:szCs w:val="21"/>
              </w:rPr>
              <w:t>首内容超时</w:t>
            </w:r>
          </w:p>
        </w:tc>
        <w:tc>
          <w:tcPr>
            <w:tcW w:w="1750" w:type="pct"/>
            <w:tcMar>
              <w:top w:w="60" w:type="dxa"/>
              <w:left w:w="100" w:type="dxa"/>
              <w:bottom w:w="60" w:type="dxa"/>
              <w:right w:w="100" w:type="dxa"/>
            </w:tcMar>
            <w:vAlign w:val="center"/>
          </w:tcPr>
          <w:p w14:paraId="12AE510E">
            <w:pPr>
              <w:spacing w:line="312" w:lineRule="auto"/>
            </w:pPr>
            <w:r>
              <w:rPr>
                <w:rFonts w:ascii="Times New Roman" w:eastAsia="宋体"/>
                <w:b w:val="0"/>
                <w:bCs w:val="0"/>
                <w:color w:val="182030"/>
                <w:sz w:val="21"/>
                <w:szCs w:val="21"/>
              </w:rPr>
              <w:t>300 秒</w:t>
            </w:r>
          </w:p>
        </w:tc>
      </w:tr>
      <w:tr w14:paraId="758ACEF6">
        <w:trPr>
          <w:cantSplit/>
        </w:trPr>
        <w:tc>
          <w:tcPr>
            <w:tcW w:w="900" w:type="pct"/>
            <w:tcMar>
              <w:top w:w="60" w:type="dxa"/>
              <w:left w:w="100" w:type="dxa"/>
              <w:bottom w:w="60" w:type="dxa"/>
              <w:right w:w="100" w:type="dxa"/>
            </w:tcMar>
            <w:vAlign w:val="center"/>
          </w:tcPr>
          <w:p w14:paraId="651F9AEA">
            <w:pPr>
              <w:spacing w:line="312" w:lineRule="auto"/>
            </w:pPr>
            <w:r>
              <w:rPr>
                <w:rFonts w:ascii="Times New Roman" w:eastAsia="宋体"/>
                <w:b w:val="0"/>
                <w:bCs w:val="0"/>
                <w:color w:val="182030"/>
                <w:sz w:val="21"/>
                <w:szCs w:val="21"/>
              </w:rPr>
              <w:t>流式输出</w:t>
            </w:r>
          </w:p>
        </w:tc>
        <w:tc>
          <w:tcPr>
            <w:tcW w:w="2350" w:type="pct"/>
            <w:tcMar>
              <w:top w:w="60" w:type="dxa"/>
              <w:left w:w="100" w:type="dxa"/>
              <w:bottom w:w="60" w:type="dxa"/>
              <w:right w:w="100" w:type="dxa"/>
            </w:tcMar>
            <w:vAlign w:val="center"/>
          </w:tcPr>
          <w:p w14:paraId="02E44B78">
            <w:pPr>
              <w:spacing w:line="312" w:lineRule="auto"/>
            </w:pPr>
            <w:r>
              <w:rPr>
                <w:rFonts w:ascii="Times New Roman" w:eastAsia="宋体"/>
                <w:b w:val="0"/>
                <w:bCs w:val="0"/>
                <w:color w:val="182030"/>
                <w:sz w:val="21"/>
                <w:szCs w:val="21"/>
              </w:rPr>
              <w:t>稳态空闲超时</w:t>
            </w:r>
          </w:p>
        </w:tc>
        <w:tc>
          <w:tcPr>
            <w:tcW w:w="1750" w:type="pct"/>
            <w:tcMar>
              <w:top w:w="60" w:type="dxa"/>
              <w:left w:w="100" w:type="dxa"/>
              <w:bottom w:w="60" w:type="dxa"/>
              <w:right w:w="100" w:type="dxa"/>
            </w:tcMar>
            <w:vAlign w:val="center"/>
          </w:tcPr>
          <w:p w14:paraId="1DE22261">
            <w:pPr>
              <w:spacing w:line="312" w:lineRule="auto"/>
            </w:pPr>
            <w:r>
              <w:rPr>
                <w:rFonts w:ascii="Times New Roman" w:eastAsia="宋体"/>
                <w:b w:val="0"/>
                <w:bCs w:val="0"/>
                <w:color w:val="182030"/>
                <w:sz w:val="21"/>
                <w:szCs w:val="21"/>
              </w:rPr>
              <w:t>300 秒</w:t>
            </w:r>
          </w:p>
        </w:tc>
      </w:tr>
      <w:tr w14:paraId="28B97BAF">
        <w:trPr>
          <w:cantSplit/>
        </w:trPr>
        <w:tc>
          <w:tcPr>
            <w:tcW w:w="900" w:type="pct"/>
            <w:tcMar>
              <w:top w:w="60" w:type="dxa"/>
              <w:left w:w="100" w:type="dxa"/>
              <w:bottom w:w="60" w:type="dxa"/>
              <w:right w:w="100" w:type="dxa"/>
            </w:tcMar>
            <w:vAlign w:val="center"/>
          </w:tcPr>
          <w:p w14:paraId="4855C266">
            <w:pPr>
              <w:spacing w:line="312" w:lineRule="auto"/>
            </w:pPr>
            <w:r>
              <w:rPr>
                <w:rFonts w:ascii="Times New Roman" w:eastAsia="宋体"/>
                <w:b w:val="0"/>
                <w:bCs w:val="0"/>
                <w:color w:val="182030"/>
                <w:sz w:val="21"/>
                <w:szCs w:val="21"/>
              </w:rPr>
              <w:t>流式输出</w:t>
            </w:r>
          </w:p>
        </w:tc>
        <w:tc>
          <w:tcPr>
            <w:tcW w:w="2350" w:type="pct"/>
            <w:tcMar>
              <w:top w:w="60" w:type="dxa"/>
              <w:left w:w="100" w:type="dxa"/>
              <w:bottom w:w="60" w:type="dxa"/>
              <w:right w:w="100" w:type="dxa"/>
            </w:tcMar>
            <w:vAlign w:val="center"/>
          </w:tcPr>
          <w:p w14:paraId="38717458">
            <w:pPr>
              <w:spacing w:line="312" w:lineRule="auto"/>
            </w:pPr>
            <w:r>
              <w:rPr>
                <w:rFonts w:ascii="Times New Roman" w:eastAsia="宋体"/>
                <w:b w:val="0"/>
                <w:bCs w:val="0"/>
                <w:color w:val="182030"/>
                <w:sz w:val="21"/>
                <w:szCs w:val="21"/>
              </w:rPr>
              <w:t>断线后重连可用窗口</w:t>
            </w:r>
          </w:p>
        </w:tc>
        <w:tc>
          <w:tcPr>
            <w:tcW w:w="1750" w:type="pct"/>
            <w:tcMar>
              <w:top w:w="60" w:type="dxa"/>
              <w:left w:w="100" w:type="dxa"/>
              <w:bottom w:w="60" w:type="dxa"/>
              <w:right w:w="100" w:type="dxa"/>
            </w:tcMar>
            <w:vAlign w:val="center"/>
          </w:tcPr>
          <w:p w14:paraId="5ABF84FC">
            <w:pPr>
              <w:spacing w:line="312" w:lineRule="auto"/>
            </w:pPr>
            <w:r>
              <w:rPr>
                <w:rFonts w:ascii="Times New Roman" w:eastAsia="宋体"/>
                <w:b w:val="0"/>
                <w:bCs w:val="0"/>
                <w:color w:val="182030"/>
                <w:sz w:val="21"/>
                <w:szCs w:val="21"/>
              </w:rPr>
              <w:t>10 分钟</w:t>
            </w:r>
          </w:p>
        </w:tc>
      </w:tr>
      <w:tr w14:paraId="1E26B6C4">
        <w:trPr>
          <w:cantSplit/>
        </w:trPr>
        <w:tc>
          <w:tcPr>
            <w:tcW w:w="900" w:type="pct"/>
            <w:tcMar>
              <w:top w:w="60" w:type="dxa"/>
              <w:left w:w="100" w:type="dxa"/>
              <w:bottom w:w="60" w:type="dxa"/>
              <w:right w:w="100" w:type="dxa"/>
            </w:tcMar>
            <w:vAlign w:val="center"/>
          </w:tcPr>
          <w:p w14:paraId="4F5865F3">
            <w:pPr>
              <w:spacing w:line="312" w:lineRule="auto"/>
            </w:pPr>
            <w:r>
              <w:rPr>
                <w:rFonts w:ascii="Times New Roman" w:eastAsia="宋体"/>
                <w:b w:val="0"/>
                <w:bCs w:val="0"/>
                <w:color w:val="182030"/>
                <w:sz w:val="21"/>
                <w:szCs w:val="21"/>
              </w:rPr>
              <w:t>上下文</w:t>
            </w:r>
          </w:p>
        </w:tc>
        <w:tc>
          <w:tcPr>
            <w:tcW w:w="2350" w:type="pct"/>
            <w:tcMar>
              <w:top w:w="60" w:type="dxa"/>
              <w:left w:w="100" w:type="dxa"/>
              <w:bottom w:w="60" w:type="dxa"/>
              <w:right w:w="100" w:type="dxa"/>
            </w:tcMar>
            <w:vAlign w:val="center"/>
          </w:tcPr>
          <w:p w14:paraId="4FB2A3D4">
            <w:pPr>
              <w:spacing w:line="312" w:lineRule="auto"/>
            </w:pPr>
            <w:r>
              <w:rPr>
                <w:rFonts w:ascii="Times New Roman" w:eastAsia="宋体"/>
                <w:b w:val="0"/>
                <w:bCs w:val="0"/>
                <w:color w:val="182030"/>
                <w:sz w:val="21"/>
                <w:szCs w:val="21"/>
              </w:rPr>
              <w:t>压缩触发比例</w:t>
            </w:r>
          </w:p>
        </w:tc>
        <w:tc>
          <w:tcPr>
            <w:tcW w:w="1750" w:type="pct"/>
            <w:tcMar>
              <w:top w:w="60" w:type="dxa"/>
              <w:left w:w="100" w:type="dxa"/>
              <w:bottom w:w="60" w:type="dxa"/>
              <w:right w:w="100" w:type="dxa"/>
            </w:tcMar>
            <w:vAlign w:val="center"/>
          </w:tcPr>
          <w:p w14:paraId="6E192EE3">
            <w:pPr>
              <w:spacing w:line="312" w:lineRule="auto"/>
            </w:pPr>
            <w:r>
              <w:rPr>
                <w:rFonts w:ascii="Times New Roman" w:eastAsia="宋体"/>
                <w:b w:val="0"/>
                <w:bCs w:val="0"/>
                <w:color w:val="182030"/>
                <w:sz w:val="21"/>
                <w:szCs w:val="21"/>
              </w:rPr>
              <w:t>窗口的 90%</w:t>
            </w:r>
          </w:p>
        </w:tc>
      </w:tr>
      <w:tr w14:paraId="0B9E7409">
        <w:trPr>
          <w:cantSplit/>
        </w:trPr>
        <w:tc>
          <w:tcPr>
            <w:tcW w:w="900" w:type="pct"/>
            <w:tcMar>
              <w:top w:w="60" w:type="dxa"/>
              <w:left w:w="100" w:type="dxa"/>
              <w:bottom w:w="60" w:type="dxa"/>
              <w:right w:w="100" w:type="dxa"/>
            </w:tcMar>
            <w:vAlign w:val="center"/>
          </w:tcPr>
          <w:p w14:paraId="2EEAD3A9">
            <w:pPr>
              <w:spacing w:line="312" w:lineRule="auto"/>
            </w:pPr>
            <w:r>
              <w:rPr>
                <w:rFonts w:ascii="Times New Roman" w:eastAsia="宋体"/>
                <w:b w:val="0"/>
                <w:bCs w:val="0"/>
                <w:color w:val="182030"/>
                <w:sz w:val="21"/>
                <w:szCs w:val="21"/>
              </w:rPr>
              <w:t>上下文</w:t>
            </w:r>
          </w:p>
        </w:tc>
        <w:tc>
          <w:tcPr>
            <w:tcW w:w="2350" w:type="pct"/>
            <w:tcMar>
              <w:top w:w="60" w:type="dxa"/>
              <w:left w:w="100" w:type="dxa"/>
              <w:bottom w:w="60" w:type="dxa"/>
              <w:right w:w="100" w:type="dxa"/>
            </w:tcMar>
            <w:vAlign w:val="center"/>
          </w:tcPr>
          <w:p w14:paraId="2D902169">
            <w:pPr>
              <w:spacing w:line="312" w:lineRule="auto"/>
            </w:pPr>
            <w:r>
              <w:rPr>
                <w:rFonts w:ascii="Times New Roman" w:eastAsia="宋体"/>
                <w:b w:val="0"/>
                <w:bCs w:val="0"/>
                <w:color w:val="182030"/>
                <w:sz w:val="21"/>
                <w:szCs w:val="21"/>
              </w:rPr>
              <w:t>触发时保留比例</w:t>
            </w:r>
          </w:p>
        </w:tc>
        <w:tc>
          <w:tcPr>
            <w:tcW w:w="1750" w:type="pct"/>
            <w:tcMar>
              <w:top w:w="60" w:type="dxa"/>
              <w:left w:w="100" w:type="dxa"/>
              <w:bottom w:w="60" w:type="dxa"/>
              <w:right w:w="100" w:type="dxa"/>
            </w:tcMar>
            <w:vAlign w:val="center"/>
          </w:tcPr>
          <w:p w14:paraId="7FF99052">
            <w:pPr>
              <w:spacing w:line="312" w:lineRule="auto"/>
            </w:pPr>
            <w:r>
              <w:rPr>
                <w:rFonts w:ascii="Times New Roman" w:eastAsia="宋体"/>
                <w:b w:val="0"/>
                <w:bCs w:val="0"/>
                <w:color w:val="182030"/>
                <w:sz w:val="21"/>
                <w:szCs w:val="21"/>
              </w:rPr>
              <w:t>窗口的 10%</w:t>
            </w:r>
          </w:p>
        </w:tc>
      </w:tr>
      <w:tr w14:paraId="5E2BC760">
        <w:trPr>
          <w:cantSplit/>
        </w:trPr>
        <w:tc>
          <w:tcPr>
            <w:tcW w:w="900" w:type="pct"/>
            <w:tcMar>
              <w:top w:w="60" w:type="dxa"/>
              <w:left w:w="100" w:type="dxa"/>
              <w:bottom w:w="60" w:type="dxa"/>
              <w:right w:w="100" w:type="dxa"/>
            </w:tcMar>
            <w:vAlign w:val="center"/>
          </w:tcPr>
          <w:p w14:paraId="0FE48E2D">
            <w:pPr>
              <w:spacing w:line="312" w:lineRule="auto"/>
            </w:pPr>
            <w:r>
              <w:rPr>
                <w:rFonts w:ascii="Times New Roman" w:eastAsia="宋体"/>
                <w:b w:val="0"/>
                <w:bCs w:val="0"/>
                <w:color w:val="182030"/>
                <w:sz w:val="21"/>
                <w:szCs w:val="21"/>
              </w:rPr>
              <w:t>上下文</w:t>
            </w:r>
          </w:p>
        </w:tc>
        <w:tc>
          <w:tcPr>
            <w:tcW w:w="2350" w:type="pct"/>
            <w:tcMar>
              <w:top w:w="60" w:type="dxa"/>
              <w:left w:w="100" w:type="dxa"/>
              <w:bottom w:w="60" w:type="dxa"/>
              <w:right w:w="100" w:type="dxa"/>
            </w:tcMar>
            <w:vAlign w:val="center"/>
          </w:tcPr>
          <w:p w14:paraId="09990E55">
            <w:pPr>
              <w:spacing w:line="312" w:lineRule="auto"/>
            </w:pPr>
            <w:r>
              <w:rPr>
                <w:rFonts w:ascii="Times New Roman" w:eastAsia="宋体"/>
                <w:b w:val="0"/>
                <w:bCs w:val="0"/>
                <w:color w:val="182030"/>
                <w:sz w:val="21"/>
                <w:szCs w:val="21"/>
              </w:rPr>
              <w:t>会话轨迹保留期</w:t>
            </w:r>
          </w:p>
        </w:tc>
        <w:tc>
          <w:tcPr>
            <w:tcW w:w="1750" w:type="pct"/>
            <w:tcMar>
              <w:top w:w="60" w:type="dxa"/>
              <w:left w:w="100" w:type="dxa"/>
              <w:bottom w:w="60" w:type="dxa"/>
              <w:right w:w="100" w:type="dxa"/>
            </w:tcMar>
            <w:vAlign w:val="center"/>
          </w:tcPr>
          <w:p w14:paraId="335050E0">
            <w:pPr>
              <w:spacing w:line="312" w:lineRule="auto"/>
            </w:pPr>
            <w:r>
              <w:rPr>
                <w:rFonts w:ascii="Times New Roman" w:eastAsia="宋体"/>
                <w:b w:val="0"/>
                <w:bCs w:val="0"/>
                <w:color w:val="182030"/>
                <w:sz w:val="21"/>
                <w:szCs w:val="21"/>
              </w:rPr>
              <w:t>30 天</w:t>
            </w:r>
          </w:p>
        </w:tc>
      </w:tr>
      <w:tr w14:paraId="7C9DA8F9">
        <w:trPr>
          <w:cantSplit/>
        </w:trPr>
        <w:tc>
          <w:tcPr>
            <w:tcW w:w="900" w:type="pct"/>
            <w:tcMar>
              <w:top w:w="60" w:type="dxa"/>
              <w:left w:w="100" w:type="dxa"/>
              <w:bottom w:w="60" w:type="dxa"/>
              <w:right w:w="100" w:type="dxa"/>
            </w:tcMar>
            <w:vAlign w:val="center"/>
          </w:tcPr>
          <w:p w14:paraId="4D2CDF68">
            <w:pPr>
              <w:spacing w:line="312" w:lineRule="auto"/>
            </w:pPr>
            <w:r>
              <w:rPr>
                <w:rFonts w:ascii="Times New Roman" w:eastAsia="宋体"/>
                <w:b w:val="0"/>
                <w:bCs w:val="0"/>
                <w:color w:val="182030"/>
                <w:sz w:val="21"/>
                <w:szCs w:val="21"/>
              </w:rPr>
              <w:t>上下文</w:t>
            </w:r>
          </w:p>
        </w:tc>
        <w:tc>
          <w:tcPr>
            <w:tcW w:w="2350" w:type="pct"/>
            <w:tcMar>
              <w:top w:w="60" w:type="dxa"/>
              <w:left w:w="100" w:type="dxa"/>
              <w:bottom w:w="60" w:type="dxa"/>
              <w:right w:w="100" w:type="dxa"/>
            </w:tcMar>
            <w:vAlign w:val="center"/>
          </w:tcPr>
          <w:p w14:paraId="1E3CF5E1">
            <w:pPr>
              <w:spacing w:line="312" w:lineRule="auto"/>
            </w:pPr>
            <w:r>
              <w:rPr>
                <w:rFonts w:ascii="Times New Roman" w:eastAsia="宋体"/>
                <w:b w:val="0"/>
                <w:bCs w:val="0"/>
                <w:color w:val="182030"/>
                <w:sz w:val="21"/>
                <w:szCs w:val="21"/>
              </w:rPr>
              <w:t>工具结果单条上限（近期）</w:t>
            </w:r>
          </w:p>
        </w:tc>
        <w:tc>
          <w:tcPr>
            <w:tcW w:w="1750" w:type="pct"/>
            <w:tcMar>
              <w:top w:w="60" w:type="dxa"/>
              <w:left w:w="100" w:type="dxa"/>
              <w:bottom w:w="60" w:type="dxa"/>
              <w:right w:w="100" w:type="dxa"/>
            </w:tcMar>
            <w:vAlign w:val="center"/>
          </w:tcPr>
          <w:p w14:paraId="4EA9F1F9">
            <w:pPr>
              <w:spacing w:line="312" w:lineRule="auto"/>
            </w:pPr>
            <w:r>
              <w:rPr>
                <w:rFonts w:ascii="Times New Roman" w:eastAsia="宋体"/>
                <w:b w:val="0"/>
                <w:bCs w:val="0"/>
                <w:color w:val="182030"/>
                <w:sz w:val="21"/>
                <w:szCs w:val="21"/>
              </w:rPr>
              <w:t>50 KB</w:t>
            </w:r>
          </w:p>
        </w:tc>
      </w:tr>
      <w:tr w14:paraId="7F864D86">
        <w:trPr>
          <w:cantSplit/>
        </w:trPr>
        <w:tc>
          <w:tcPr>
            <w:tcW w:w="900" w:type="pct"/>
            <w:tcMar>
              <w:top w:w="60" w:type="dxa"/>
              <w:left w:w="100" w:type="dxa"/>
              <w:bottom w:w="60" w:type="dxa"/>
              <w:right w:w="100" w:type="dxa"/>
            </w:tcMar>
            <w:vAlign w:val="center"/>
          </w:tcPr>
          <w:p w14:paraId="737CCBA0">
            <w:pPr>
              <w:spacing w:line="312" w:lineRule="auto"/>
            </w:pPr>
            <w:r>
              <w:rPr>
                <w:rFonts w:ascii="Times New Roman" w:eastAsia="宋体"/>
                <w:b w:val="0"/>
                <w:bCs w:val="0"/>
                <w:color w:val="182030"/>
                <w:sz w:val="21"/>
                <w:szCs w:val="21"/>
              </w:rPr>
              <w:t>上下文</w:t>
            </w:r>
          </w:p>
        </w:tc>
        <w:tc>
          <w:tcPr>
            <w:tcW w:w="2350" w:type="pct"/>
            <w:tcMar>
              <w:top w:w="60" w:type="dxa"/>
              <w:left w:w="100" w:type="dxa"/>
              <w:bottom w:w="60" w:type="dxa"/>
              <w:right w:w="100" w:type="dxa"/>
            </w:tcMar>
            <w:vAlign w:val="center"/>
          </w:tcPr>
          <w:p w14:paraId="1BF0466B">
            <w:pPr>
              <w:spacing w:line="312" w:lineRule="auto"/>
            </w:pPr>
            <w:r>
              <w:rPr>
                <w:rFonts w:ascii="Times New Roman" w:eastAsia="宋体"/>
                <w:b w:val="0"/>
                <w:bCs w:val="0"/>
                <w:color w:val="182030"/>
                <w:sz w:val="21"/>
                <w:szCs w:val="21"/>
              </w:rPr>
              <w:t>工具结果单条上限（较早）</w:t>
            </w:r>
          </w:p>
        </w:tc>
        <w:tc>
          <w:tcPr>
            <w:tcW w:w="1750" w:type="pct"/>
            <w:tcMar>
              <w:top w:w="60" w:type="dxa"/>
              <w:left w:w="100" w:type="dxa"/>
              <w:bottom w:w="60" w:type="dxa"/>
              <w:right w:w="100" w:type="dxa"/>
            </w:tcMar>
            <w:vAlign w:val="center"/>
          </w:tcPr>
          <w:p w14:paraId="05EF4742">
            <w:pPr>
              <w:spacing w:line="312" w:lineRule="auto"/>
            </w:pPr>
            <w:r>
              <w:rPr>
                <w:rFonts w:ascii="Times New Roman" w:eastAsia="宋体"/>
                <w:b w:val="0"/>
                <w:bCs w:val="0"/>
                <w:color w:val="182030"/>
                <w:sz w:val="21"/>
                <w:szCs w:val="21"/>
              </w:rPr>
              <w:t>3 KB</w:t>
            </w:r>
          </w:p>
        </w:tc>
      </w:tr>
      <w:tr w14:paraId="2A406D9C">
        <w:trPr>
          <w:cantSplit/>
        </w:trPr>
        <w:tc>
          <w:tcPr>
            <w:tcW w:w="900" w:type="pct"/>
            <w:tcMar>
              <w:top w:w="60" w:type="dxa"/>
              <w:left w:w="100" w:type="dxa"/>
              <w:bottom w:w="60" w:type="dxa"/>
              <w:right w:w="100" w:type="dxa"/>
            </w:tcMar>
            <w:vAlign w:val="center"/>
          </w:tcPr>
          <w:p w14:paraId="3726B5E4">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6EB735BE">
            <w:pPr>
              <w:spacing w:line="312" w:lineRule="auto"/>
            </w:pPr>
            <w:r>
              <w:rPr>
                <w:rFonts w:ascii="Times New Roman" w:eastAsia="宋体"/>
                <w:b w:val="0"/>
                <w:bCs w:val="0"/>
                <w:color w:val="182030"/>
                <w:sz w:val="21"/>
                <w:szCs w:val="21"/>
              </w:rPr>
              <w:t>支持文件格式</w:t>
            </w:r>
          </w:p>
        </w:tc>
        <w:tc>
          <w:tcPr>
            <w:tcW w:w="1750" w:type="pct"/>
            <w:tcMar>
              <w:top w:w="60" w:type="dxa"/>
              <w:left w:w="100" w:type="dxa"/>
              <w:bottom w:w="60" w:type="dxa"/>
              <w:right w:w="100" w:type="dxa"/>
            </w:tcMar>
            <w:vAlign w:val="center"/>
          </w:tcPr>
          <w:p w14:paraId="65676C33">
            <w:pPr>
              <w:spacing w:line="312" w:lineRule="auto"/>
            </w:pPr>
            <w:r>
              <w:rPr>
                <w:rFonts w:ascii="Times New Roman" w:eastAsia="宋体"/>
                <w:b w:val="0"/>
                <w:bCs w:val="0"/>
                <w:color w:val="182030"/>
                <w:sz w:val="21"/>
                <w:szCs w:val="21"/>
              </w:rPr>
              <w:t>PDF / Word / Excel / CSV / TXT / MD / JSON</w:t>
            </w:r>
          </w:p>
        </w:tc>
      </w:tr>
      <w:tr w14:paraId="172A3977">
        <w:trPr>
          <w:cantSplit/>
        </w:trPr>
        <w:tc>
          <w:tcPr>
            <w:tcW w:w="900" w:type="pct"/>
            <w:tcMar>
              <w:top w:w="60" w:type="dxa"/>
              <w:left w:w="100" w:type="dxa"/>
              <w:bottom w:w="60" w:type="dxa"/>
              <w:right w:w="100" w:type="dxa"/>
            </w:tcMar>
            <w:vAlign w:val="center"/>
          </w:tcPr>
          <w:p w14:paraId="6D2C5990">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3A005BC6">
            <w:pPr>
              <w:spacing w:line="312" w:lineRule="auto"/>
            </w:pPr>
            <w:r>
              <w:rPr>
                <w:rFonts w:ascii="Times New Roman" w:eastAsia="宋体"/>
                <w:b w:val="0"/>
                <w:bCs w:val="0"/>
                <w:color w:val="182030"/>
                <w:sz w:val="21"/>
                <w:szCs w:val="21"/>
              </w:rPr>
              <w:t>单文件大小上限</w:t>
            </w:r>
          </w:p>
        </w:tc>
        <w:tc>
          <w:tcPr>
            <w:tcW w:w="1750" w:type="pct"/>
            <w:tcMar>
              <w:top w:w="60" w:type="dxa"/>
              <w:left w:w="100" w:type="dxa"/>
              <w:bottom w:w="60" w:type="dxa"/>
              <w:right w:w="100" w:type="dxa"/>
            </w:tcMar>
            <w:vAlign w:val="center"/>
          </w:tcPr>
          <w:p w14:paraId="21AD2D46">
            <w:pPr>
              <w:spacing w:line="312" w:lineRule="auto"/>
            </w:pPr>
            <w:r>
              <w:rPr>
                <w:rFonts w:ascii="Times New Roman" w:eastAsia="宋体"/>
                <w:b w:val="0"/>
                <w:bCs w:val="0"/>
                <w:color w:val="182030"/>
                <w:sz w:val="21"/>
                <w:szCs w:val="21"/>
              </w:rPr>
              <w:t>10 GB</w:t>
            </w:r>
          </w:p>
        </w:tc>
      </w:tr>
      <w:tr w14:paraId="16658C99">
        <w:trPr>
          <w:cantSplit/>
        </w:trPr>
        <w:tc>
          <w:tcPr>
            <w:tcW w:w="900" w:type="pct"/>
            <w:tcMar>
              <w:top w:w="60" w:type="dxa"/>
              <w:left w:w="100" w:type="dxa"/>
              <w:bottom w:w="60" w:type="dxa"/>
              <w:right w:w="100" w:type="dxa"/>
            </w:tcMar>
            <w:vAlign w:val="center"/>
          </w:tcPr>
          <w:p w14:paraId="16F07C8F">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0CEA65F4">
            <w:pPr>
              <w:spacing w:line="312" w:lineRule="auto"/>
            </w:pPr>
            <w:r>
              <w:rPr>
                <w:rFonts w:ascii="Times New Roman" w:eastAsia="宋体"/>
                <w:b w:val="0"/>
                <w:bCs w:val="0"/>
                <w:color w:val="182030"/>
                <w:sz w:val="21"/>
                <w:szCs w:val="21"/>
              </w:rPr>
              <w:t>聊天附件解析上限</w:t>
            </w:r>
          </w:p>
        </w:tc>
        <w:tc>
          <w:tcPr>
            <w:tcW w:w="1750" w:type="pct"/>
            <w:tcMar>
              <w:top w:w="60" w:type="dxa"/>
              <w:left w:w="100" w:type="dxa"/>
              <w:bottom w:w="60" w:type="dxa"/>
              <w:right w:w="100" w:type="dxa"/>
            </w:tcMar>
            <w:vAlign w:val="center"/>
          </w:tcPr>
          <w:p w14:paraId="0E2B42BE">
            <w:pPr>
              <w:spacing w:line="312" w:lineRule="auto"/>
            </w:pPr>
            <w:r>
              <w:rPr>
                <w:rFonts w:ascii="Times New Roman" w:eastAsia="宋体"/>
                <w:b w:val="0"/>
                <w:bCs w:val="0"/>
                <w:color w:val="182030"/>
                <w:sz w:val="21"/>
                <w:szCs w:val="21"/>
              </w:rPr>
              <w:t>50 MB</w:t>
            </w:r>
          </w:p>
        </w:tc>
      </w:tr>
      <w:tr w14:paraId="0662D1F9">
        <w:trPr>
          <w:cantSplit/>
        </w:trPr>
        <w:tc>
          <w:tcPr>
            <w:tcW w:w="900" w:type="pct"/>
            <w:tcMar>
              <w:top w:w="60" w:type="dxa"/>
              <w:left w:w="100" w:type="dxa"/>
              <w:bottom w:w="60" w:type="dxa"/>
              <w:right w:w="100" w:type="dxa"/>
            </w:tcMar>
            <w:vAlign w:val="center"/>
          </w:tcPr>
          <w:p w14:paraId="790DBF96">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0280AEBA">
            <w:pPr>
              <w:spacing w:line="312" w:lineRule="auto"/>
            </w:pPr>
            <w:r>
              <w:rPr>
                <w:rFonts w:ascii="Times New Roman" w:eastAsia="宋体"/>
                <w:b w:val="0"/>
                <w:bCs w:val="0"/>
                <w:color w:val="182030"/>
                <w:sz w:val="21"/>
                <w:szCs w:val="21"/>
              </w:rPr>
              <w:t>分块基准长度</w:t>
            </w:r>
          </w:p>
        </w:tc>
        <w:tc>
          <w:tcPr>
            <w:tcW w:w="1750" w:type="pct"/>
            <w:tcMar>
              <w:top w:w="60" w:type="dxa"/>
              <w:left w:w="100" w:type="dxa"/>
              <w:bottom w:w="60" w:type="dxa"/>
              <w:right w:w="100" w:type="dxa"/>
            </w:tcMar>
            <w:vAlign w:val="center"/>
          </w:tcPr>
          <w:p w14:paraId="6083FB02">
            <w:pPr>
              <w:spacing w:line="312" w:lineRule="auto"/>
            </w:pPr>
            <w:r>
              <w:rPr>
                <w:rFonts w:ascii="Times New Roman" w:eastAsia="宋体"/>
                <w:b w:val="0"/>
                <w:bCs w:val="0"/>
                <w:color w:val="182030"/>
                <w:sz w:val="21"/>
                <w:szCs w:val="21"/>
              </w:rPr>
              <w:t>1400 字符</w:t>
            </w:r>
          </w:p>
        </w:tc>
      </w:tr>
      <w:tr w14:paraId="066EB2B6">
        <w:trPr>
          <w:cantSplit/>
        </w:trPr>
        <w:tc>
          <w:tcPr>
            <w:tcW w:w="900" w:type="pct"/>
            <w:tcMar>
              <w:top w:w="60" w:type="dxa"/>
              <w:left w:w="100" w:type="dxa"/>
              <w:bottom w:w="60" w:type="dxa"/>
              <w:right w:w="100" w:type="dxa"/>
            </w:tcMar>
            <w:vAlign w:val="center"/>
          </w:tcPr>
          <w:p w14:paraId="3D225D86">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2801241A">
            <w:pPr>
              <w:spacing w:line="312" w:lineRule="auto"/>
            </w:pPr>
            <w:r>
              <w:rPr>
                <w:rFonts w:ascii="Times New Roman" w:eastAsia="宋体"/>
                <w:b w:val="0"/>
                <w:bCs w:val="0"/>
                <w:color w:val="182030"/>
                <w:sz w:val="21"/>
                <w:szCs w:val="21"/>
              </w:rPr>
              <w:t>向量化批处理大小</w:t>
            </w:r>
          </w:p>
        </w:tc>
        <w:tc>
          <w:tcPr>
            <w:tcW w:w="1750" w:type="pct"/>
            <w:tcMar>
              <w:top w:w="60" w:type="dxa"/>
              <w:left w:w="100" w:type="dxa"/>
              <w:bottom w:w="60" w:type="dxa"/>
              <w:right w:w="100" w:type="dxa"/>
            </w:tcMar>
            <w:vAlign w:val="center"/>
          </w:tcPr>
          <w:p w14:paraId="3BC2A43C">
            <w:pPr>
              <w:spacing w:line="312" w:lineRule="auto"/>
            </w:pPr>
            <w:r>
              <w:rPr>
                <w:rFonts w:ascii="Times New Roman" w:eastAsia="宋体"/>
                <w:b w:val="0"/>
                <w:bCs w:val="0"/>
                <w:color w:val="182030"/>
                <w:sz w:val="21"/>
                <w:szCs w:val="21"/>
              </w:rPr>
              <w:t>32 条/批</w:t>
            </w:r>
          </w:p>
        </w:tc>
      </w:tr>
      <w:tr w14:paraId="03D30627">
        <w:trPr>
          <w:cantSplit/>
        </w:trPr>
        <w:tc>
          <w:tcPr>
            <w:tcW w:w="900" w:type="pct"/>
            <w:tcMar>
              <w:top w:w="60" w:type="dxa"/>
              <w:left w:w="100" w:type="dxa"/>
              <w:bottom w:w="60" w:type="dxa"/>
              <w:right w:w="100" w:type="dxa"/>
            </w:tcMar>
            <w:vAlign w:val="center"/>
          </w:tcPr>
          <w:p w14:paraId="075F263D">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0C9C8F64">
            <w:pPr>
              <w:spacing w:line="312" w:lineRule="auto"/>
            </w:pPr>
            <w:r>
              <w:rPr>
                <w:rFonts w:ascii="Times New Roman" w:eastAsia="宋体"/>
                <w:b w:val="0"/>
                <w:bCs w:val="0"/>
                <w:color w:val="182030"/>
                <w:sz w:val="21"/>
                <w:szCs w:val="21"/>
              </w:rPr>
              <w:t>向量维度</w:t>
            </w:r>
          </w:p>
        </w:tc>
        <w:tc>
          <w:tcPr>
            <w:tcW w:w="1750" w:type="pct"/>
            <w:tcMar>
              <w:top w:w="60" w:type="dxa"/>
              <w:left w:w="100" w:type="dxa"/>
              <w:bottom w:w="60" w:type="dxa"/>
              <w:right w:w="100" w:type="dxa"/>
            </w:tcMar>
            <w:vAlign w:val="center"/>
          </w:tcPr>
          <w:p w14:paraId="56EA14E1">
            <w:pPr>
              <w:spacing w:line="312" w:lineRule="auto"/>
            </w:pPr>
            <w:r>
              <w:rPr>
                <w:rFonts w:ascii="Times New Roman" w:eastAsia="宋体"/>
                <w:b w:val="0"/>
                <w:bCs w:val="0"/>
                <w:color w:val="182030"/>
                <w:sz w:val="21"/>
                <w:szCs w:val="21"/>
              </w:rPr>
              <w:t>1024</w:t>
            </w:r>
          </w:p>
        </w:tc>
      </w:tr>
      <w:tr w14:paraId="09A91842">
        <w:trPr>
          <w:cantSplit/>
        </w:trPr>
        <w:tc>
          <w:tcPr>
            <w:tcW w:w="900" w:type="pct"/>
            <w:tcMar>
              <w:top w:w="60" w:type="dxa"/>
              <w:left w:w="100" w:type="dxa"/>
              <w:bottom w:w="60" w:type="dxa"/>
              <w:right w:w="100" w:type="dxa"/>
            </w:tcMar>
            <w:vAlign w:val="center"/>
          </w:tcPr>
          <w:p w14:paraId="5A4BAE6E">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6D258AB5">
            <w:pPr>
              <w:spacing w:line="312" w:lineRule="auto"/>
            </w:pPr>
            <w:r>
              <w:rPr>
                <w:rFonts w:ascii="Times New Roman" w:eastAsia="宋体"/>
                <w:b w:val="0"/>
                <w:bCs w:val="0"/>
                <w:color w:val="182030"/>
                <w:sz w:val="21"/>
                <w:szCs w:val="21"/>
              </w:rPr>
              <w:t>语义检索相关性地板</w:t>
            </w:r>
          </w:p>
        </w:tc>
        <w:tc>
          <w:tcPr>
            <w:tcW w:w="1750" w:type="pct"/>
            <w:tcMar>
              <w:top w:w="60" w:type="dxa"/>
              <w:left w:w="100" w:type="dxa"/>
              <w:bottom w:w="60" w:type="dxa"/>
              <w:right w:w="100" w:type="dxa"/>
            </w:tcMar>
            <w:vAlign w:val="center"/>
          </w:tcPr>
          <w:p w14:paraId="04DA6943">
            <w:pPr>
              <w:spacing w:line="312" w:lineRule="auto"/>
            </w:pPr>
            <w:r>
              <w:rPr>
                <w:rFonts w:ascii="Times New Roman" w:eastAsia="宋体"/>
                <w:b w:val="0"/>
                <w:bCs w:val="0"/>
                <w:color w:val="182030"/>
                <w:sz w:val="21"/>
                <w:szCs w:val="21"/>
              </w:rPr>
              <w:t>0.40</w:t>
            </w:r>
          </w:p>
        </w:tc>
      </w:tr>
      <w:tr w14:paraId="26894C8A">
        <w:trPr>
          <w:cantSplit/>
        </w:trPr>
        <w:tc>
          <w:tcPr>
            <w:tcW w:w="900" w:type="pct"/>
            <w:tcMar>
              <w:top w:w="60" w:type="dxa"/>
              <w:left w:w="100" w:type="dxa"/>
              <w:bottom w:w="60" w:type="dxa"/>
              <w:right w:w="100" w:type="dxa"/>
            </w:tcMar>
            <w:vAlign w:val="center"/>
          </w:tcPr>
          <w:p w14:paraId="26C5F779">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7F1496B6">
            <w:pPr>
              <w:spacing w:line="312" w:lineRule="auto"/>
            </w:pPr>
            <w:r>
              <w:rPr>
                <w:rFonts w:ascii="Times New Roman" w:eastAsia="宋体"/>
                <w:b w:val="0"/>
                <w:bCs w:val="0"/>
                <w:color w:val="182030"/>
                <w:sz w:val="21"/>
                <w:szCs w:val="21"/>
              </w:rPr>
              <w:t>单次检索默认返回条数</w:t>
            </w:r>
          </w:p>
        </w:tc>
        <w:tc>
          <w:tcPr>
            <w:tcW w:w="1750" w:type="pct"/>
            <w:tcMar>
              <w:top w:w="60" w:type="dxa"/>
              <w:left w:w="100" w:type="dxa"/>
              <w:bottom w:w="60" w:type="dxa"/>
              <w:right w:w="100" w:type="dxa"/>
            </w:tcMar>
            <w:vAlign w:val="center"/>
          </w:tcPr>
          <w:p w14:paraId="0F5F9DE3">
            <w:pPr>
              <w:spacing w:line="312" w:lineRule="auto"/>
            </w:pPr>
            <w:r>
              <w:rPr>
                <w:rFonts w:ascii="Times New Roman" w:eastAsia="宋体"/>
                <w:b w:val="0"/>
                <w:bCs w:val="0"/>
                <w:color w:val="182030"/>
                <w:sz w:val="21"/>
                <w:szCs w:val="21"/>
              </w:rPr>
              <w:t>20 条</w:t>
            </w:r>
          </w:p>
        </w:tc>
      </w:tr>
      <w:tr w14:paraId="482825F8">
        <w:trPr>
          <w:cantSplit/>
        </w:trPr>
        <w:tc>
          <w:tcPr>
            <w:tcW w:w="900" w:type="pct"/>
            <w:tcMar>
              <w:top w:w="60" w:type="dxa"/>
              <w:left w:w="100" w:type="dxa"/>
              <w:bottom w:w="60" w:type="dxa"/>
              <w:right w:w="100" w:type="dxa"/>
            </w:tcMar>
            <w:vAlign w:val="center"/>
          </w:tcPr>
          <w:p w14:paraId="744B997B">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59CE3238">
            <w:pPr>
              <w:spacing w:line="312" w:lineRule="auto"/>
            </w:pPr>
            <w:r>
              <w:rPr>
                <w:rFonts w:ascii="Times New Roman" w:eastAsia="宋体"/>
                <w:b w:val="0"/>
                <w:bCs w:val="0"/>
                <w:color w:val="182030"/>
                <w:sz w:val="21"/>
                <w:szCs w:val="21"/>
              </w:rPr>
              <w:t>自动注入资料条数上限</w:t>
            </w:r>
          </w:p>
        </w:tc>
        <w:tc>
          <w:tcPr>
            <w:tcW w:w="1750" w:type="pct"/>
            <w:tcMar>
              <w:top w:w="60" w:type="dxa"/>
              <w:left w:w="100" w:type="dxa"/>
              <w:bottom w:w="60" w:type="dxa"/>
              <w:right w:w="100" w:type="dxa"/>
            </w:tcMar>
            <w:vAlign w:val="center"/>
          </w:tcPr>
          <w:p w14:paraId="06B26BEA">
            <w:pPr>
              <w:spacing w:line="312" w:lineRule="auto"/>
            </w:pPr>
            <w:r>
              <w:rPr>
                <w:rFonts w:ascii="Times New Roman" w:eastAsia="宋体"/>
                <w:b w:val="0"/>
                <w:bCs w:val="0"/>
                <w:color w:val="182030"/>
                <w:sz w:val="21"/>
                <w:szCs w:val="21"/>
              </w:rPr>
              <w:t>8 段，每段 900 字</w:t>
            </w:r>
          </w:p>
        </w:tc>
      </w:tr>
      <w:tr w14:paraId="229E9D3F">
        <w:trPr>
          <w:cantSplit/>
        </w:trPr>
        <w:tc>
          <w:tcPr>
            <w:tcW w:w="900" w:type="pct"/>
            <w:tcMar>
              <w:top w:w="60" w:type="dxa"/>
              <w:left w:w="100" w:type="dxa"/>
              <w:bottom w:w="60" w:type="dxa"/>
              <w:right w:w="100" w:type="dxa"/>
            </w:tcMar>
            <w:vAlign w:val="center"/>
          </w:tcPr>
          <w:p w14:paraId="67010142">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7E634BE3">
            <w:pPr>
              <w:spacing w:line="312" w:lineRule="auto"/>
            </w:pPr>
            <w:r>
              <w:rPr>
                <w:rFonts w:ascii="Times New Roman" w:eastAsia="宋体"/>
                <w:b w:val="0"/>
                <w:bCs w:val="0"/>
                <w:color w:val="182030"/>
                <w:sz w:val="21"/>
                <w:szCs w:val="21"/>
              </w:rPr>
              <w:t>解析超时</w:t>
            </w:r>
          </w:p>
        </w:tc>
        <w:tc>
          <w:tcPr>
            <w:tcW w:w="1750" w:type="pct"/>
            <w:tcMar>
              <w:top w:w="60" w:type="dxa"/>
              <w:left w:w="100" w:type="dxa"/>
              <w:bottom w:w="60" w:type="dxa"/>
              <w:right w:w="100" w:type="dxa"/>
            </w:tcMar>
            <w:vAlign w:val="center"/>
          </w:tcPr>
          <w:p w14:paraId="248CA95A">
            <w:pPr>
              <w:spacing w:line="312" w:lineRule="auto"/>
            </w:pPr>
            <w:r>
              <w:rPr>
                <w:rFonts w:ascii="Times New Roman" w:eastAsia="宋体"/>
                <w:b w:val="0"/>
                <w:bCs w:val="0"/>
                <w:color w:val="182030"/>
                <w:sz w:val="21"/>
                <w:szCs w:val="21"/>
              </w:rPr>
              <w:t>900 秒（可配）</w:t>
            </w:r>
          </w:p>
        </w:tc>
      </w:tr>
      <w:tr w14:paraId="60674089">
        <w:trPr>
          <w:cantSplit/>
        </w:trPr>
        <w:tc>
          <w:tcPr>
            <w:tcW w:w="900" w:type="pct"/>
            <w:tcMar>
              <w:top w:w="60" w:type="dxa"/>
              <w:left w:w="100" w:type="dxa"/>
              <w:bottom w:w="60" w:type="dxa"/>
              <w:right w:w="100" w:type="dxa"/>
            </w:tcMar>
            <w:vAlign w:val="center"/>
          </w:tcPr>
          <w:p w14:paraId="0A2D3748">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4FA31425">
            <w:pPr>
              <w:spacing w:line="312" w:lineRule="auto"/>
            </w:pPr>
            <w:r>
              <w:rPr>
                <w:rFonts w:ascii="Times New Roman" w:eastAsia="宋体"/>
                <w:b w:val="0"/>
                <w:bCs w:val="0"/>
                <w:color w:val="182030"/>
                <w:sz w:val="21"/>
                <w:szCs w:val="21"/>
              </w:rPr>
              <w:t>任务最大尝试次数</w:t>
            </w:r>
          </w:p>
        </w:tc>
        <w:tc>
          <w:tcPr>
            <w:tcW w:w="1750" w:type="pct"/>
            <w:tcMar>
              <w:top w:w="60" w:type="dxa"/>
              <w:left w:w="100" w:type="dxa"/>
              <w:bottom w:w="60" w:type="dxa"/>
              <w:right w:w="100" w:type="dxa"/>
            </w:tcMar>
            <w:vAlign w:val="center"/>
          </w:tcPr>
          <w:p w14:paraId="5F1D3254">
            <w:pPr>
              <w:spacing w:line="312" w:lineRule="auto"/>
            </w:pPr>
            <w:r>
              <w:rPr>
                <w:rFonts w:ascii="Times New Roman" w:eastAsia="宋体"/>
                <w:b w:val="0"/>
                <w:bCs w:val="0"/>
                <w:color w:val="182030"/>
                <w:sz w:val="21"/>
                <w:szCs w:val="21"/>
              </w:rPr>
              <w:t>4 次（首次 + 3 次重试）</w:t>
            </w:r>
          </w:p>
        </w:tc>
      </w:tr>
      <w:tr w14:paraId="17FB91A0">
        <w:trPr>
          <w:cantSplit/>
        </w:trPr>
        <w:tc>
          <w:tcPr>
            <w:tcW w:w="900" w:type="pct"/>
            <w:tcMar>
              <w:top w:w="60" w:type="dxa"/>
              <w:left w:w="100" w:type="dxa"/>
              <w:bottom w:w="60" w:type="dxa"/>
              <w:right w:w="100" w:type="dxa"/>
            </w:tcMar>
            <w:vAlign w:val="center"/>
          </w:tcPr>
          <w:p w14:paraId="79B6347B">
            <w:pPr>
              <w:spacing w:line="312" w:lineRule="auto"/>
            </w:pPr>
            <w:r>
              <w:rPr>
                <w:rFonts w:ascii="Times New Roman" w:eastAsia="宋体"/>
                <w:b w:val="0"/>
                <w:bCs w:val="0"/>
                <w:color w:val="182030"/>
                <w:sz w:val="21"/>
                <w:szCs w:val="21"/>
              </w:rPr>
              <w:t>知识库</w:t>
            </w:r>
          </w:p>
        </w:tc>
        <w:tc>
          <w:tcPr>
            <w:tcW w:w="2350" w:type="pct"/>
            <w:tcMar>
              <w:top w:w="60" w:type="dxa"/>
              <w:left w:w="100" w:type="dxa"/>
              <w:bottom w:w="60" w:type="dxa"/>
              <w:right w:w="100" w:type="dxa"/>
            </w:tcMar>
            <w:vAlign w:val="center"/>
          </w:tcPr>
          <w:p w14:paraId="08FBB110">
            <w:pPr>
              <w:spacing w:line="312" w:lineRule="auto"/>
            </w:pPr>
            <w:r>
              <w:rPr>
                <w:rFonts w:ascii="Times New Roman" w:eastAsia="宋体"/>
                <w:b w:val="0"/>
                <w:bCs w:val="0"/>
                <w:color w:val="182030"/>
                <w:sz w:val="21"/>
                <w:szCs w:val="21"/>
              </w:rPr>
              <w:t>失败任务重试间隔</w:t>
            </w:r>
          </w:p>
        </w:tc>
        <w:tc>
          <w:tcPr>
            <w:tcW w:w="1750" w:type="pct"/>
            <w:tcMar>
              <w:top w:w="60" w:type="dxa"/>
              <w:left w:w="100" w:type="dxa"/>
              <w:bottom w:w="60" w:type="dxa"/>
              <w:right w:w="100" w:type="dxa"/>
            </w:tcMar>
            <w:vAlign w:val="center"/>
          </w:tcPr>
          <w:p w14:paraId="26A80A01">
            <w:pPr>
              <w:spacing w:line="312" w:lineRule="auto"/>
            </w:pPr>
            <w:r>
              <w:rPr>
                <w:rFonts w:ascii="Times New Roman" w:eastAsia="宋体"/>
                <w:b w:val="0"/>
                <w:bCs w:val="0"/>
                <w:color w:val="182030"/>
                <w:sz w:val="21"/>
                <w:szCs w:val="21"/>
              </w:rPr>
              <w:t>1 小时</w:t>
            </w:r>
          </w:p>
        </w:tc>
      </w:tr>
      <w:tr w14:paraId="5A8A6DB1">
        <w:trPr>
          <w:cantSplit/>
        </w:trPr>
        <w:tc>
          <w:tcPr>
            <w:tcW w:w="900" w:type="pct"/>
            <w:tcMar>
              <w:top w:w="60" w:type="dxa"/>
              <w:left w:w="100" w:type="dxa"/>
              <w:bottom w:w="60" w:type="dxa"/>
              <w:right w:w="100" w:type="dxa"/>
            </w:tcMar>
            <w:vAlign w:val="center"/>
          </w:tcPr>
          <w:p w14:paraId="35F8A2E0">
            <w:pPr>
              <w:spacing w:line="312" w:lineRule="auto"/>
            </w:pPr>
            <w:r>
              <w:rPr>
                <w:rFonts w:ascii="Times New Roman" w:eastAsia="宋体"/>
                <w:b w:val="0"/>
                <w:bCs w:val="0"/>
                <w:color w:val="182030"/>
                <w:sz w:val="21"/>
                <w:szCs w:val="21"/>
              </w:rPr>
              <w:t>数据分析</w:t>
            </w:r>
          </w:p>
        </w:tc>
        <w:tc>
          <w:tcPr>
            <w:tcW w:w="2350" w:type="pct"/>
            <w:tcMar>
              <w:top w:w="60" w:type="dxa"/>
              <w:left w:w="100" w:type="dxa"/>
              <w:bottom w:w="60" w:type="dxa"/>
              <w:right w:w="100" w:type="dxa"/>
            </w:tcMar>
            <w:vAlign w:val="center"/>
          </w:tcPr>
          <w:p w14:paraId="483EA91F">
            <w:pPr>
              <w:spacing w:line="312" w:lineRule="auto"/>
            </w:pPr>
            <w:r>
              <w:rPr>
                <w:rFonts w:ascii="Times New Roman" w:eastAsia="宋体"/>
                <w:b w:val="0"/>
                <w:bCs w:val="0"/>
                <w:color w:val="182030"/>
                <w:sz w:val="21"/>
                <w:szCs w:val="21"/>
              </w:rPr>
              <w:t>查询语句超时</w:t>
            </w:r>
          </w:p>
        </w:tc>
        <w:tc>
          <w:tcPr>
            <w:tcW w:w="1750" w:type="pct"/>
            <w:tcMar>
              <w:top w:w="60" w:type="dxa"/>
              <w:left w:w="100" w:type="dxa"/>
              <w:bottom w:w="60" w:type="dxa"/>
              <w:right w:w="100" w:type="dxa"/>
            </w:tcMar>
            <w:vAlign w:val="center"/>
          </w:tcPr>
          <w:p w14:paraId="70283B46">
            <w:pPr>
              <w:spacing w:line="312" w:lineRule="auto"/>
            </w:pPr>
            <w:r>
              <w:rPr>
                <w:rFonts w:ascii="Times New Roman" w:eastAsia="宋体"/>
                <w:b w:val="0"/>
                <w:bCs w:val="0"/>
                <w:color w:val="182030"/>
                <w:sz w:val="21"/>
                <w:szCs w:val="21"/>
              </w:rPr>
              <w:t>30 秒</w:t>
            </w:r>
          </w:p>
        </w:tc>
      </w:tr>
      <w:tr w14:paraId="54251122">
        <w:trPr>
          <w:cantSplit/>
        </w:trPr>
        <w:tc>
          <w:tcPr>
            <w:tcW w:w="900" w:type="pct"/>
            <w:tcMar>
              <w:top w:w="60" w:type="dxa"/>
              <w:left w:w="100" w:type="dxa"/>
              <w:bottom w:w="60" w:type="dxa"/>
              <w:right w:w="100" w:type="dxa"/>
            </w:tcMar>
            <w:vAlign w:val="center"/>
          </w:tcPr>
          <w:p w14:paraId="24FE2D56">
            <w:pPr>
              <w:spacing w:line="312" w:lineRule="auto"/>
            </w:pPr>
            <w:r>
              <w:rPr>
                <w:rFonts w:ascii="Times New Roman" w:eastAsia="宋体"/>
                <w:b w:val="0"/>
                <w:bCs w:val="0"/>
                <w:color w:val="182030"/>
                <w:sz w:val="21"/>
                <w:szCs w:val="21"/>
              </w:rPr>
              <w:t>数据分析</w:t>
            </w:r>
          </w:p>
        </w:tc>
        <w:tc>
          <w:tcPr>
            <w:tcW w:w="2350" w:type="pct"/>
            <w:tcMar>
              <w:top w:w="60" w:type="dxa"/>
              <w:left w:w="100" w:type="dxa"/>
              <w:bottom w:w="60" w:type="dxa"/>
              <w:right w:w="100" w:type="dxa"/>
            </w:tcMar>
            <w:vAlign w:val="center"/>
          </w:tcPr>
          <w:p w14:paraId="302DC15C">
            <w:pPr>
              <w:spacing w:line="312" w:lineRule="auto"/>
            </w:pPr>
            <w:r>
              <w:rPr>
                <w:rFonts w:ascii="Times New Roman" w:eastAsia="宋体"/>
                <w:b w:val="0"/>
                <w:bCs w:val="0"/>
                <w:color w:val="182030"/>
                <w:sz w:val="21"/>
                <w:szCs w:val="21"/>
              </w:rPr>
              <w:t>结果返回行数上限</w:t>
            </w:r>
          </w:p>
        </w:tc>
        <w:tc>
          <w:tcPr>
            <w:tcW w:w="1750" w:type="pct"/>
            <w:tcMar>
              <w:top w:w="60" w:type="dxa"/>
              <w:left w:w="100" w:type="dxa"/>
              <w:bottom w:w="60" w:type="dxa"/>
              <w:right w:w="100" w:type="dxa"/>
            </w:tcMar>
            <w:vAlign w:val="center"/>
          </w:tcPr>
          <w:p w14:paraId="36AFE072">
            <w:pPr>
              <w:spacing w:line="312" w:lineRule="auto"/>
            </w:pPr>
            <w:r>
              <w:rPr>
                <w:rFonts w:ascii="Times New Roman" w:eastAsia="宋体"/>
                <w:b w:val="0"/>
                <w:bCs w:val="0"/>
                <w:color w:val="182030"/>
                <w:sz w:val="21"/>
                <w:szCs w:val="21"/>
              </w:rPr>
              <w:t>100 行</w:t>
            </w:r>
          </w:p>
        </w:tc>
      </w:tr>
      <w:tr w14:paraId="297FB49E">
        <w:trPr>
          <w:cantSplit/>
        </w:trPr>
        <w:tc>
          <w:tcPr>
            <w:tcW w:w="900" w:type="pct"/>
            <w:tcMar>
              <w:top w:w="60" w:type="dxa"/>
              <w:left w:w="100" w:type="dxa"/>
              <w:bottom w:w="60" w:type="dxa"/>
              <w:right w:w="100" w:type="dxa"/>
            </w:tcMar>
            <w:vAlign w:val="center"/>
          </w:tcPr>
          <w:p w14:paraId="3A931F0F">
            <w:pPr>
              <w:spacing w:line="312" w:lineRule="auto"/>
            </w:pPr>
            <w:r>
              <w:rPr>
                <w:rFonts w:ascii="Times New Roman" w:eastAsia="宋体"/>
                <w:b w:val="0"/>
                <w:bCs w:val="0"/>
                <w:color w:val="182030"/>
                <w:sz w:val="21"/>
                <w:szCs w:val="21"/>
              </w:rPr>
              <w:t>会话管理</w:t>
            </w:r>
          </w:p>
        </w:tc>
        <w:tc>
          <w:tcPr>
            <w:tcW w:w="2350" w:type="pct"/>
            <w:tcMar>
              <w:top w:w="60" w:type="dxa"/>
              <w:left w:w="100" w:type="dxa"/>
              <w:bottom w:w="60" w:type="dxa"/>
              <w:right w:w="100" w:type="dxa"/>
            </w:tcMar>
            <w:vAlign w:val="center"/>
          </w:tcPr>
          <w:p w14:paraId="32DEE028">
            <w:pPr>
              <w:spacing w:line="312" w:lineRule="auto"/>
            </w:pPr>
            <w:r>
              <w:rPr>
                <w:rFonts w:ascii="Times New Roman" w:eastAsia="宋体"/>
                <w:b w:val="0"/>
                <w:bCs w:val="0"/>
                <w:color w:val="182030"/>
                <w:sz w:val="21"/>
                <w:szCs w:val="21"/>
              </w:rPr>
              <w:t>状态增量检查点间隔</w:t>
            </w:r>
          </w:p>
        </w:tc>
        <w:tc>
          <w:tcPr>
            <w:tcW w:w="1750" w:type="pct"/>
            <w:tcMar>
              <w:top w:w="60" w:type="dxa"/>
              <w:left w:w="100" w:type="dxa"/>
              <w:bottom w:w="60" w:type="dxa"/>
              <w:right w:w="100" w:type="dxa"/>
            </w:tcMar>
            <w:vAlign w:val="center"/>
          </w:tcPr>
          <w:p w14:paraId="7B7D29AF">
            <w:pPr>
              <w:spacing w:line="312" w:lineRule="auto"/>
            </w:pPr>
            <w:r>
              <w:rPr>
                <w:rFonts w:ascii="Times New Roman" w:eastAsia="宋体"/>
                <w:b w:val="0"/>
                <w:bCs w:val="0"/>
                <w:color w:val="182030"/>
                <w:sz w:val="21"/>
                <w:szCs w:val="21"/>
              </w:rPr>
              <w:t>2 秒</w:t>
            </w:r>
          </w:p>
        </w:tc>
      </w:tr>
      <w:tr w14:paraId="0DC17EB5">
        <w:trPr>
          <w:cantSplit/>
        </w:trPr>
        <w:tc>
          <w:tcPr>
            <w:tcW w:w="900" w:type="pct"/>
            <w:tcMar>
              <w:top w:w="60" w:type="dxa"/>
              <w:left w:w="100" w:type="dxa"/>
              <w:bottom w:w="60" w:type="dxa"/>
              <w:right w:w="100" w:type="dxa"/>
            </w:tcMar>
            <w:vAlign w:val="center"/>
          </w:tcPr>
          <w:p w14:paraId="31355E6A">
            <w:pPr>
              <w:spacing w:line="312" w:lineRule="auto"/>
            </w:pPr>
            <w:r>
              <w:rPr>
                <w:rFonts w:ascii="Times New Roman" w:eastAsia="宋体"/>
                <w:b w:val="0"/>
                <w:bCs w:val="0"/>
                <w:color w:val="182030"/>
                <w:sz w:val="21"/>
                <w:szCs w:val="21"/>
              </w:rPr>
              <w:t>会话管理</w:t>
            </w:r>
          </w:p>
        </w:tc>
        <w:tc>
          <w:tcPr>
            <w:tcW w:w="2350" w:type="pct"/>
            <w:tcMar>
              <w:top w:w="60" w:type="dxa"/>
              <w:left w:w="100" w:type="dxa"/>
              <w:bottom w:w="60" w:type="dxa"/>
              <w:right w:w="100" w:type="dxa"/>
            </w:tcMar>
            <w:vAlign w:val="center"/>
          </w:tcPr>
          <w:p w14:paraId="5FAD353B">
            <w:pPr>
              <w:spacing w:line="312" w:lineRule="auto"/>
            </w:pPr>
            <w:r>
              <w:rPr>
                <w:rFonts w:ascii="Times New Roman" w:eastAsia="宋体"/>
                <w:b w:val="0"/>
                <w:bCs w:val="0"/>
                <w:color w:val="182030"/>
                <w:sz w:val="21"/>
                <w:szCs w:val="21"/>
              </w:rPr>
              <w:t>导出文件格式</w:t>
            </w:r>
          </w:p>
        </w:tc>
        <w:tc>
          <w:tcPr>
            <w:tcW w:w="1750" w:type="pct"/>
            <w:tcMar>
              <w:top w:w="60" w:type="dxa"/>
              <w:left w:w="100" w:type="dxa"/>
              <w:bottom w:w="60" w:type="dxa"/>
              <w:right w:w="100" w:type="dxa"/>
            </w:tcMar>
            <w:vAlign w:val="center"/>
          </w:tcPr>
          <w:p w14:paraId="17D0D7B2">
            <w:pPr>
              <w:spacing w:line="312" w:lineRule="auto"/>
            </w:pPr>
            <w:r>
              <w:rPr>
                <w:rFonts w:ascii="Times New Roman" w:eastAsia="宋体"/>
                <w:b w:val="0"/>
                <w:bCs w:val="0"/>
                <w:color w:val="182030"/>
                <w:sz w:val="21"/>
                <w:szCs w:val="21"/>
              </w:rPr>
              <w:t>自包含 JSON（不含身份信息）</w:t>
            </w:r>
          </w:p>
        </w:tc>
      </w:tr>
      <w:tr w14:paraId="0E3A60C4">
        <w:trPr>
          <w:cantSplit/>
        </w:trPr>
        <w:tc>
          <w:tcPr>
            <w:tcW w:w="900" w:type="pct"/>
            <w:tcMar>
              <w:top w:w="60" w:type="dxa"/>
              <w:left w:w="100" w:type="dxa"/>
              <w:bottom w:w="60" w:type="dxa"/>
              <w:right w:w="100" w:type="dxa"/>
            </w:tcMar>
            <w:vAlign w:val="center"/>
          </w:tcPr>
          <w:p w14:paraId="063C92A6">
            <w:pPr>
              <w:spacing w:line="312" w:lineRule="auto"/>
            </w:pPr>
            <w:r>
              <w:rPr>
                <w:rFonts w:ascii="Times New Roman" w:eastAsia="宋体"/>
                <w:b w:val="0"/>
                <w:bCs w:val="0"/>
                <w:color w:val="182030"/>
                <w:sz w:val="21"/>
                <w:szCs w:val="21"/>
              </w:rPr>
              <w:t>并发控制</w:t>
            </w:r>
          </w:p>
        </w:tc>
        <w:tc>
          <w:tcPr>
            <w:tcW w:w="2350" w:type="pct"/>
            <w:tcMar>
              <w:top w:w="60" w:type="dxa"/>
              <w:left w:w="100" w:type="dxa"/>
              <w:bottom w:w="60" w:type="dxa"/>
              <w:right w:w="100" w:type="dxa"/>
            </w:tcMar>
            <w:vAlign w:val="center"/>
          </w:tcPr>
          <w:p w14:paraId="2692B22C">
            <w:pPr>
              <w:spacing w:line="312" w:lineRule="auto"/>
            </w:pPr>
            <w:r>
              <w:rPr>
                <w:rFonts w:ascii="Times New Roman" w:eastAsia="宋体"/>
                <w:b w:val="0"/>
                <w:bCs w:val="0"/>
                <w:color w:val="182030"/>
                <w:sz w:val="21"/>
                <w:szCs w:val="21"/>
              </w:rPr>
              <w:t>同步 IO 线程池</w:t>
            </w:r>
          </w:p>
        </w:tc>
        <w:tc>
          <w:tcPr>
            <w:tcW w:w="1750" w:type="pct"/>
            <w:tcMar>
              <w:top w:w="60" w:type="dxa"/>
              <w:left w:w="100" w:type="dxa"/>
              <w:bottom w:w="60" w:type="dxa"/>
              <w:right w:w="100" w:type="dxa"/>
            </w:tcMar>
            <w:vAlign w:val="center"/>
          </w:tcPr>
          <w:p w14:paraId="0DFE4DAA">
            <w:pPr>
              <w:spacing w:line="312" w:lineRule="auto"/>
            </w:pPr>
            <w:r>
              <w:rPr>
                <w:rFonts w:ascii="Times New Roman" w:eastAsia="宋体"/>
                <w:b w:val="0"/>
                <w:bCs w:val="0"/>
                <w:color w:val="182030"/>
                <w:sz w:val="21"/>
                <w:szCs w:val="21"/>
              </w:rPr>
              <w:t>按用途分池：数据库/文件/子进程/审计</w:t>
            </w:r>
          </w:p>
        </w:tc>
      </w:tr>
      <w:tr w14:paraId="08109E4F">
        <w:trPr>
          <w:cantSplit/>
        </w:trPr>
        <w:tc>
          <w:tcPr>
            <w:tcW w:w="900" w:type="pct"/>
            <w:tcMar>
              <w:top w:w="60" w:type="dxa"/>
              <w:left w:w="100" w:type="dxa"/>
              <w:bottom w:w="60" w:type="dxa"/>
              <w:right w:w="100" w:type="dxa"/>
            </w:tcMar>
            <w:vAlign w:val="center"/>
          </w:tcPr>
          <w:p w14:paraId="7D571422">
            <w:pPr>
              <w:spacing w:line="312" w:lineRule="auto"/>
            </w:pPr>
            <w:r>
              <w:rPr>
                <w:rFonts w:ascii="Times New Roman" w:eastAsia="宋体"/>
                <w:b w:val="0"/>
                <w:bCs w:val="0"/>
                <w:color w:val="182030"/>
                <w:sz w:val="21"/>
                <w:szCs w:val="21"/>
              </w:rPr>
              <w:t>并发控制</w:t>
            </w:r>
          </w:p>
        </w:tc>
        <w:tc>
          <w:tcPr>
            <w:tcW w:w="2350" w:type="pct"/>
            <w:tcMar>
              <w:top w:w="60" w:type="dxa"/>
              <w:left w:w="100" w:type="dxa"/>
              <w:bottom w:w="60" w:type="dxa"/>
              <w:right w:w="100" w:type="dxa"/>
            </w:tcMar>
            <w:vAlign w:val="center"/>
          </w:tcPr>
          <w:p w14:paraId="58DD2C5F">
            <w:pPr>
              <w:spacing w:line="312" w:lineRule="auto"/>
            </w:pPr>
            <w:r>
              <w:rPr>
                <w:rFonts w:ascii="Times New Roman" w:eastAsia="宋体"/>
                <w:b w:val="0"/>
                <w:bCs w:val="0"/>
                <w:color w:val="182030"/>
                <w:sz w:val="21"/>
                <w:szCs w:val="21"/>
              </w:rPr>
              <w:t>池满时的行为</w:t>
            </w:r>
          </w:p>
        </w:tc>
        <w:tc>
          <w:tcPr>
            <w:tcW w:w="1750" w:type="pct"/>
            <w:tcMar>
              <w:top w:w="60" w:type="dxa"/>
              <w:left w:w="100" w:type="dxa"/>
              <w:bottom w:w="60" w:type="dxa"/>
              <w:right w:w="100" w:type="dxa"/>
            </w:tcMar>
            <w:vAlign w:val="center"/>
          </w:tcPr>
          <w:p w14:paraId="1DDB3F19">
            <w:pPr>
              <w:spacing w:line="312" w:lineRule="auto"/>
            </w:pPr>
            <w:r>
              <w:rPr>
                <w:rFonts w:ascii="Times New Roman" w:eastAsia="宋体"/>
                <w:b w:val="0"/>
                <w:bCs w:val="0"/>
                <w:color w:val="182030"/>
                <w:sz w:val="21"/>
                <w:szCs w:val="21"/>
              </w:rPr>
              <w:t>有界等待后返回明确错误，不无限排队</w:t>
            </w:r>
          </w:p>
        </w:tc>
      </w:tr>
    </w:tbl>
    <w:p w14:paraId="65AE4801">
      <w:pPr>
        <w:spacing w:after="60" w:line="312" w:lineRule="auto"/>
        <w:jc w:val="both"/>
      </w:pPr>
      <w:bookmarkStart w:id="38" w:name="_GoBack"/>
      <w:bookmarkEnd w:id="38"/>
    </w:p>
    <w:sectPr>
      <w:headerReference r:id="rId7" w:type="default"/>
      <w:footerReference r:id="rId8" w:type="default"/>
      <w:pgSz w:w="11906" w:h="16838"/>
      <w:pgMar w:top="1440" w:right="1417" w:bottom="1440" w:left="1701"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D7698">
    <w:pPr>
      <w:jc w:val="center"/>
    </w:pPr>
    <w:r>
      <w:rPr>
        <w:rFonts w:ascii="Arial"/>
        <w:color w:val="A0A0A0"/>
        <w:sz w:val="18"/>
        <w:szCs w:val="18"/>
      </w:rPr>
      <w:fldChar w:fldCharType="begin"/>
    </w:r>
    <w:r>
      <w:rPr>
        <w:rFonts w:ascii="Arial"/>
        <w:color w:val="A0A0A0"/>
        <w:sz w:val="18"/>
        <w:szCs w:val="18"/>
      </w:rPr>
      <w:instrText xml:space="preserve"> PAGE \* ROMAN \* MERGEFORMAT </w:instrText>
    </w:r>
    <w:r>
      <w:rPr>
        <w:rFonts w:ascii="Arial"/>
        <w:color w:val="A0A0A0"/>
        <w:sz w:val="18"/>
        <w:szCs w:val="18"/>
      </w:rPr>
      <w:fldChar w:fldCharType="separate"/>
    </w:r>
    <w:r>
      <w:rPr>
        <w:rFonts w:ascii="Arial"/>
        <w:color w:val="A0A0A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6FD07">
    <w:pPr>
      <w:jc w:val="center"/>
    </w:pPr>
    <w:r>
      <w:rPr>
        <w:rFonts w:ascii="Arial"/>
        <w:color w:val="A0A0A0"/>
        <w:sz w:val="18"/>
        <w:szCs w:val="18"/>
      </w:rPr>
      <w:fldChar w:fldCharType="begin"/>
    </w:r>
    <w:r>
      <w:rPr>
        <w:rFonts w:ascii="Arial"/>
        <w:color w:val="A0A0A0"/>
        <w:sz w:val="18"/>
        <w:szCs w:val="18"/>
      </w:rPr>
      <w:instrText xml:space="preserve"> PAGE \* arabic \* MERGEFORMAT </w:instrText>
    </w:r>
    <w:r>
      <w:rPr>
        <w:rFonts w:ascii="Arial"/>
        <w:color w:val="A0A0A0"/>
        <w:sz w:val="18"/>
        <w:szCs w:val="18"/>
      </w:rPr>
      <w:fldChar w:fldCharType="separate"/>
    </w:r>
    <w:r>
      <w:rPr>
        <w:rFonts w:ascii="Arial"/>
        <w:color w:val="A0A0A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3587E">
    <w:pPr>
      <w:jc w:val="right"/>
    </w:pPr>
    <w:r>
      <w:rPr>
        <w:rFonts w:ascii="Times New Roman" w:eastAsia="宋体"/>
        <w:color w:val="A0A0A0"/>
        <w:sz w:val="18"/>
        <w:szCs w:val="18"/>
      </w:rPr>
      <w:t>汇智小助手技术路线报告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5923F">
    <w:pPr>
      <w:jc w:val="right"/>
    </w:pPr>
    <w:r>
      <w:rPr>
        <w:rFonts w:ascii="Times New Roman" w:eastAsia="宋体"/>
        <w:color w:val="A0A0A0"/>
        <w:sz w:val="18"/>
        <w:szCs w:val="18"/>
      </w:rPr>
      <w:t>汇智小助手技术路线报告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6DF74AF4"/>
    <w:rsid w:val="72DE0D02"/>
    <w:rsid w:val="7FF520D4"/>
    <w:rsid w:val="9FD34A05"/>
    <w:rsid w:val="C9F2C99E"/>
    <w:rsid w:val="EDFD49BC"/>
    <w:rsid w:val="F76FE29A"/>
    <w:rsid w:val="FFBF8545"/>
    <w:rsid w:val="FFFB8E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pPr>
    <w:rPr>
      <w:rFonts w:ascii="Times New Roman" w:eastAsia="宋体"/>
      <w:color w:val="182030"/>
      <w:sz w:val="24"/>
      <w:szCs w:val="24"/>
    </w:rPr>
  </w:style>
  <w:style w:type="paragraph" w:styleId="2">
    <w:name w:val="heading 1"/>
    <w:basedOn w:val="1"/>
    <w:next w:val="1"/>
    <w:qFormat/>
    <w:uiPriority w:val="0"/>
    <w:pPr>
      <w:outlineLvl w:val="0"/>
    </w:pPr>
    <w:rPr>
      <w:color w:val="2E74B5"/>
      <w:sz w:val="32"/>
      <w:szCs w:val="32"/>
    </w:rPr>
  </w:style>
  <w:style w:type="paragraph" w:styleId="3">
    <w:name w:val="heading 2"/>
    <w:basedOn w:val="1"/>
    <w:next w:val="1"/>
    <w:qFormat/>
    <w:uiPriority w:val="0"/>
    <w:pPr>
      <w:outlineLvl w:val="1"/>
    </w:pPr>
    <w:rPr>
      <w:color w:val="2E74B5"/>
      <w:sz w:val="26"/>
      <w:szCs w:val="26"/>
    </w:rPr>
  </w:style>
  <w:style w:type="paragraph" w:styleId="4">
    <w:name w:val="heading 3"/>
    <w:basedOn w:val="1"/>
    <w:next w:val="1"/>
    <w:qFormat/>
    <w:uiPriority w:val="0"/>
    <w:pPr>
      <w:outlineLvl w:val="2"/>
    </w:pPr>
    <w:rPr>
      <w:color w:val="1F4D78"/>
      <w:sz w:val="24"/>
      <w:szCs w:val="24"/>
    </w:rPr>
  </w:style>
  <w:style w:type="paragraph" w:styleId="5">
    <w:name w:val="heading 4"/>
    <w:basedOn w:val="1"/>
    <w:next w:val="1"/>
    <w:qFormat/>
    <w:uiPriority w:val="0"/>
    <w:pPr>
      <w:outlineLvl w:val="3"/>
    </w:pPr>
    <w:rPr>
      <w:i/>
      <w:iCs/>
      <w:color w:val="2E74B5"/>
    </w:rPr>
  </w:style>
  <w:style w:type="paragraph" w:styleId="6">
    <w:name w:val="heading 5"/>
    <w:basedOn w:val="1"/>
    <w:next w:val="1"/>
    <w:qFormat/>
    <w:uiPriority w:val="0"/>
    <w:pPr>
      <w:outlineLvl w:val="4"/>
    </w:pPr>
    <w:rPr>
      <w:color w:val="2E74B5"/>
    </w:rPr>
  </w:style>
  <w:style w:type="paragraph" w:styleId="7">
    <w:name w:val="heading 6"/>
    <w:basedOn w:val="1"/>
    <w:next w:val="1"/>
    <w:qFormat/>
    <w:uiPriority w:val="0"/>
    <w:pPr>
      <w:outlineLvl w:val="5"/>
    </w:pPr>
    <w:rPr>
      <w:color w:val="1F4D78"/>
    </w:rPr>
  </w:style>
  <w:style w:type="character" w:default="1" w:styleId="15">
    <w:name w:val="Default Paragraph Font"/>
    <w:semiHidden/>
    <w:uiPriority w:val="0"/>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toc 3"/>
    <w:basedOn w:val="1"/>
    <w:next w:val="1"/>
    <w:qFormat/>
    <w:uiPriority w:val="0"/>
    <w:pPr>
      <w:spacing w:after="20" w:line="240" w:lineRule="auto"/>
      <w:ind w:left="840"/>
    </w:pPr>
    <w:rPr>
      <w:rFonts w:ascii="Times New Roman" w:eastAsia="宋体"/>
      <w:color w:val="182030"/>
      <w:sz w:val="21"/>
      <w:szCs w:val="21"/>
    </w:rPr>
  </w:style>
  <w:style w:type="paragraph" w:styleId="9">
    <w:name w:val="endnote text"/>
    <w:basedOn w:val="1"/>
    <w:link w:val="21"/>
    <w:semiHidden/>
    <w:unhideWhenUsed/>
    <w:uiPriority w:val="99"/>
    <w:pPr>
      <w:spacing w:after="0" w:line="240" w:lineRule="auto"/>
    </w:pPr>
    <w:rPr>
      <w:sz w:val="20"/>
      <w:szCs w:val="20"/>
    </w:rPr>
  </w:style>
  <w:style w:type="paragraph" w:styleId="10">
    <w:name w:val="toc 1"/>
    <w:basedOn w:val="1"/>
    <w:next w:val="1"/>
    <w:qFormat/>
    <w:uiPriority w:val="0"/>
    <w:pPr>
      <w:spacing w:after="60" w:line="260" w:lineRule="auto"/>
      <w:ind w:left="0"/>
    </w:pPr>
    <w:rPr>
      <w:rFonts w:ascii="Times New Roman" w:eastAsia="黑体"/>
      <w:color w:val="1284BA"/>
      <w:sz w:val="22"/>
      <w:szCs w:val="22"/>
    </w:rPr>
  </w:style>
  <w:style w:type="paragraph" w:styleId="11">
    <w:name w:val="footnote text"/>
    <w:basedOn w:val="1"/>
    <w:link w:val="20"/>
    <w:semiHidden/>
    <w:unhideWhenUsed/>
    <w:uiPriority w:val="99"/>
    <w:pPr>
      <w:spacing w:after="0" w:line="240" w:lineRule="auto"/>
    </w:pPr>
    <w:rPr>
      <w:sz w:val="20"/>
      <w:szCs w:val="20"/>
    </w:rPr>
  </w:style>
  <w:style w:type="paragraph" w:styleId="12">
    <w:name w:val="toc 2"/>
    <w:basedOn w:val="1"/>
    <w:next w:val="1"/>
    <w:qFormat/>
    <w:uiPriority w:val="0"/>
    <w:pPr>
      <w:spacing w:after="20" w:line="240" w:lineRule="auto"/>
      <w:ind w:left="420"/>
    </w:pPr>
    <w:rPr>
      <w:rFonts w:ascii="Times New Roman" w:eastAsia="宋体"/>
      <w:color w:val="182030"/>
      <w:sz w:val="21"/>
      <w:szCs w:val="21"/>
    </w:rPr>
  </w:style>
  <w:style w:type="paragraph" w:styleId="13">
    <w:name w:val="Title"/>
    <w:basedOn w:val="1"/>
    <w:next w:val="1"/>
    <w:qFormat/>
    <w:uiPriority w:val="0"/>
    <w:rPr>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basedOn w:val="1"/>
    <w:qFormat/>
    <w:uiPriority w:val="0"/>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2</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汇智小助手</dc:creator>
  <dc:description>面向警务实战的智能体平台技术路线说明</dc:description>
  <cp:lastModifiedBy>勿忘初心</cp:lastModifiedBy>
  <dcterms:modified xsi:type="dcterms:W3CDTF">2026-10-15T12:34:01Z</dcterms:modified>
  <dc:title>汇智小助手技术路线报告 V1.1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63380254E9B9164EA156D06A72848694_42</vt:lpwstr>
  </property>
</Properties>
</file>