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bdr w:val="single" w:color="auto" w:sz="4" w:space="0"/>
        </w:rPr>
      </w:pP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第</w:t>
      </w:r>
      <w:r>
        <w:rPr>
          <w:rFonts w:hint="eastAsia" w:ascii="宋体" w:hAnsi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  <w:lang w:val="en-US" w:eastAsia="zh-CN"/>
        </w:rPr>
        <w:t>三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单元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bdr w:val="single" w:color="auto" w:sz="4" w:space="0"/>
        </w:rPr>
        <w:t xml:space="preserve"> 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u w:val="single"/>
          <w:bdr w:val="single" w:color="auto" w:sz="4" w:space="0"/>
        </w:rPr>
        <w:t>明清时期(至鸦片战争前):统一多民族封建国家的巩固与发展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u w:val="single"/>
          <w:bdr w:val="single" w:color="auto" w:sz="4" w:space="0"/>
        </w:rPr>
        <w:t xml:space="preserve">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基础知识检查清单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default" w:ascii="宋体" w:hAnsi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★第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21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 xml:space="preserve">课  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明清时期的科技与文化</w:t>
      </w:r>
    </w:p>
    <w:p>
      <w:pPr>
        <w:numPr>
          <w:ilvl w:val="0"/>
          <w:numId w:val="1"/>
        </w:numPr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完成“明朝科技名著”表格填空</w:t>
      </w:r>
    </w:p>
    <w:tbl>
      <w:tblPr>
        <w:tblStyle w:val="3"/>
        <w:tblW w:w="102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6"/>
        <w:gridCol w:w="2305"/>
        <w:gridCol w:w="1971"/>
        <w:gridCol w:w="3138"/>
        <w:gridCol w:w="12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6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lang w:val="en-US" w:eastAsia="zh-CN"/>
              </w:rPr>
              <w:t>著作</w:t>
            </w:r>
          </w:p>
        </w:tc>
        <w:tc>
          <w:tcPr>
            <w:tcW w:w="2305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lang w:val="en-US" w:eastAsia="zh-CN"/>
              </w:rPr>
              <w:t>作者</w:t>
            </w:r>
          </w:p>
        </w:tc>
        <w:tc>
          <w:tcPr>
            <w:tcW w:w="1971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lang w:val="en-US" w:eastAsia="zh-CN"/>
              </w:rPr>
              <w:t>门类</w:t>
            </w:r>
          </w:p>
        </w:tc>
        <w:tc>
          <w:tcPr>
            <w:tcW w:w="3138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lang w:val="en-US" w:eastAsia="zh-CN"/>
              </w:rPr>
              <w:t>评价</w:t>
            </w:r>
          </w:p>
        </w:tc>
        <w:tc>
          <w:tcPr>
            <w:tcW w:w="1226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lang w:val="en-US" w:eastAsia="zh-CN"/>
              </w:rPr>
              <w:t>共同特点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6" w:type="dxa"/>
          </w:tcPr>
          <w:p>
            <w:pPr>
              <w:numPr>
                <w:ilvl w:val="0"/>
                <w:numId w:val="0"/>
              </w:numPr>
              <w:spacing w:line="720" w:lineRule="auto"/>
              <w:jc w:val="center"/>
              <w:rPr>
                <w:rFonts w:hint="eastAsia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《本草纲目》</w:t>
            </w:r>
          </w:p>
        </w:tc>
        <w:tc>
          <w:tcPr>
            <w:tcW w:w="2305" w:type="dxa"/>
          </w:tcPr>
          <w:p>
            <w:pPr>
              <w:numPr>
                <w:ilvl w:val="0"/>
                <w:numId w:val="0"/>
              </w:numPr>
              <w:spacing w:line="720" w:lineRule="auto"/>
              <w:jc w:val="center"/>
              <w:rPr>
                <w:rFonts w:hint="default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  <w:t>李时珍</w:t>
            </w:r>
          </w:p>
        </w:tc>
        <w:tc>
          <w:tcPr>
            <w:tcW w:w="1971" w:type="dxa"/>
          </w:tcPr>
          <w:p>
            <w:pPr>
              <w:numPr>
                <w:ilvl w:val="0"/>
                <w:numId w:val="0"/>
              </w:numPr>
              <w:spacing w:line="720" w:lineRule="auto"/>
              <w:jc w:val="center"/>
              <w:rPr>
                <w:rFonts w:hint="default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  <w:t>医药学</w:t>
            </w:r>
          </w:p>
        </w:tc>
        <w:tc>
          <w:tcPr>
            <w:tcW w:w="3138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cs="宋体"/>
                <w:b/>
                <w:bCs/>
                <w:color w:val="C00000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C00000"/>
                <w:lang w:val="en-US" w:eastAsia="zh-CN"/>
              </w:rPr>
              <w:t>总结了我国古代药物学成就，丰富了我国医药学的宝库，在世界医药史上占有重要地位</w:t>
            </w:r>
          </w:p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</w:pPr>
          </w:p>
        </w:tc>
        <w:tc>
          <w:tcPr>
            <w:tcW w:w="1226" w:type="dxa"/>
            <w:vMerge w:val="restart"/>
          </w:tcPr>
          <w:p>
            <w:pPr>
              <w:numPr>
                <w:ilvl w:val="0"/>
                <w:numId w:val="0"/>
              </w:numPr>
              <w:spacing w:line="720" w:lineRule="auto"/>
              <w:jc w:val="center"/>
              <w:rPr>
                <w:rFonts w:hint="eastAsia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  <w:t>总结性</w:t>
            </w:r>
          </w:p>
          <w:p>
            <w:pPr>
              <w:numPr>
                <w:ilvl w:val="0"/>
                <w:numId w:val="0"/>
              </w:numPr>
              <w:spacing w:line="720" w:lineRule="auto"/>
              <w:jc w:val="center"/>
              <w:rPr>
                <w:rFonts w:hint="default" w:ascii="宋体" w:hAnsi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  <w:t>实用性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6" w:type="dxa"/>
          </w:tcPr>
          <w:p>
            <w:pPr>
              <w:numPr>
                <w:ilvl w:val="0"/>
                <w:numId w:val="0"/>
              </w:numPr>
              <w:spacing w:line="720" w:lineRule="auto"/>
              <w:jc w:val="center"/>
              <w:rPr>
                <w:rFonts w:hint="eastAsia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《农政全书》</w:t>
            </w:r>
          </w:p>
        </w:tc>
        <w:tc>
          <w:tcPr>
            <w:tcW w:w="2305" w:type="dxa"/>
          </w:tcPr>
          <w:p>
            <w:pPr>
              <w:numPr>
                <w:ilvl w:val="0"/>
                <w:numId w:val="0"/>
              </w:numPr>
              <w:spacing w:line="720" w:lineRule="auto"/>
              <w:jc w:val="center"/>
              <w:rPr>
                <w:rFonts w:hint="default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  <w:t>徐光启</w:t>
            </w:r>
          </w:p>
        </w:tc>
        <w:tc>
          <w:tcPr>
            <w:tcW w:w="1971" w:type="dxa"/>
          </w:tcPr>
          <w:p>
            <w:pPr>
              <w:numPr>
                <w:ilvl w:val="0"/>
                <w:numId w:val="0"/>
              </w:numPr>
              <w:spacing w:line="720" w:lineRule="auto"/>
              <w:jc w:val="center"/>
              <w:rPr>
                <w:rFonts w:hint="default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  <w:t>农业</w:t>
            </w:r>
          </w:p>
        </w:tc>
        <w:tc>
          <w:tcPr>
            <w:tcW w:w="3138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  <w:t>全面总结了古代农业生产的先进经验、技术革新和作业关于农学的创新成果</w:t>
            </w:r>
          </w:p>
        </w:tc>
        <w:tc>
          <w:tcPr>
            <w:tcW w:w="1226" w:type="dxa"/>
            <w:vMerge w:val="continue"/>
          </w:tcPr>
          <w:p>
            <w:pPr>
              <w:numPr>
                <w:ilvl w:val="0"/>
                <w:numId w:val="0"/>
              </w:numPr>
              <w:rPr>
                <w:rFonts w:hint="eastAsia" w:ascii="宋体" w:hAnsi="宋体" w:cs="宋体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6" w:type="dxa"/>
          </w:tcPr>
          <w:p>
            <w:pPr>
              <w:numPr>
                <w:ilvl w:val="0"/>
                <w:numId w:val="0"/>
              </w:numPr>
              <w:spacing w:line="720" w:lineRule="auto"/>
              <w:jc w:val="center"/>
              <w:rPr>
                <w:rFonts w:hint="eastAsia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《天工开物》</w:t>
            </w:r>
          </w:p>
        </w:tc>
        <w:tc>
          <w:tcPr>
            <w:tcW w:w="2305" w:type="dxa"/>
          </w:tcPr>
          <w:p>
            <w:pPr>
              <w:numPr>
                <w:ilvl w:val="0"/>
                <w:numId w:val="0"/>
              </w:numPr>
              <w:spacing w:line="720" w:lineRule="auto"/>
              <w:jc w:val="center"/>
              <w:rPr>
                <w:rFonts w:hint="default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  <w:t>宋应星</w:t>
            </w:r>
          </w:p>
        </w:tc>
        <w:tc>
          <w:tcPr>
            <w:tcW w:w="1971" w:type="dxa"/>
          </w:tcPr>
          <w:p>
            <w:pPr>
              <w:numPr>
                <w:ilvl w:val="0"/>
                <w:numId w:val="0"/>
              </w:numPr>
              <w:spacing w:line="720" w:lineRule="auto"/>
              <w:jc w:val="center"/>
              <w:rPr>
                <w:rFonts w:hint="default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  <w:t>农业和手工业</w:t>
            </w:r>
          </w:p>
        </w:tc>
        <w:tc>
          <w:tcPr>
            <w:tcW w:w="3138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  <w:t>对我国古代的农业和手工业生产技术进行了全面的总结，被誉为“中国17世纪的工艺百科全书”</w:t>
            </w:r>
          </w:p>
        </w:tc>
        <w:tc>
          <w:tcPr>
            <w:tcW w:w="1226" w:type="dxa"/>
            <w:vMerge w:val="continue"/>
          </w:tcPr>
          <w:p>
            <w:pPr>
              <w:numPr>
                <w:ilvl w:val="0"/>
                <w:numId w:val="0"/>
              </w:numPr>
              <w:rPr>
                <w:rFonts w:hint="eastAsia" w:ascii="宋体" w:hAnsi="宋体" w:cs="宋体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《天工开物》序言中：“卷分前后，乃‘贵五谷而贱金玉’之义”体现了什么思想？</w:t>
      </w:r>
    </w:p>
    <w:p>
      <w:pPr>
        <w:numPr>
          <w:ilvl w:val="0"/>
          <w:numId w:val="0"/>
        </w:numPr>
        <w:ind w:leftChars="0"/>
        <w:rPr>
          <w:rFonts w:hint="default" w:ascii="宋体" w:hAnsi="宋体" w:cs="宋体"/>
          <w:lang w:val="en-US" w:eastAsia="zh-CN"/>
        </w:rPr>
      </w:pPr>
      <w:r>
        <w:rPr>
          <w:rFonts w:hint="eastAsia" w:ascii="宋体" w:hAnsi="宋体" w:cs="宋体"/>
          <w:b/>
          <w:bCs/>
          <w:color w:val="C00000"/>
          <w:lang w:val="en-US" w:eastAsia="zh-CN"/>
        </w:rPr>
        <w:t>体现了中国古代的“重农”，以农为本的思想</w:t>
      </w:r>
    </w:p>
    <w:p>
      <w:pPr>
        <w:numPr>
          <w:ilvl w:val="0"/>
          <w:numId w:val="1"/>
        </w:numPr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明长城修建的目的、起止点、作用</w:t>
      </w:r>
    </w:p>
    <w:p>
      <w:pPr>
        <w:numPr>
          <w:ilvl w:val="0"/>
          <w:numId w:val="0"/>
        </w:numPr>
        <w:rPr>
          <w:rFonts w:hint="eastAsia" w:ascii="宋体" w:hAnsi="宋体" w:cs="宋体"/>
          <w:b/>
          <w:bCs/>
          <w:color w:val="C00000"/>
          <w:lang w:val="en-US" w:eastAsia="zh-CN"/>
        </w:rPr>
      </w:pPr>
      <w:r>
        <w:rPr>
          <w:rFonts w:hint="eastAsia" w:ascii="宋体" w:hAnsi="宋体" w:cs="宋体"/>
          <w:b/>
          <w:bCs/>
          <w:color w:val="C00000"/>
          <w:lang w:val="en-US" w:eastAsia="zh-CN"/>
        </w:rPr>
        <w:t>目的：防御北方蒙古族南扰</w:t>
      </w:r>
    </w:p>
    <w:p>
      <w:pPr>
        <w:numPr>
          <w:ilvl w:val="0"/>
          <w:numId w:val="0"/>
        </w:numPr>
        <w:rPr>
          <w:rFonts w:hint="eastAsia" w:ascii="宋体" w:hAnsi="宋体" w:cs="宋体"/>
          <w:b/>
          <w:bCs/>
          <w:color w:val="C00000"/>
          <w:lang w:val="en-US" w:eastAsia="zh-CN"/>
        </w:rPr>
      </w:pPr>
      <w:r>
        <w:rPr>
          <w:rFonts w:hint="eastAsia" w:ascii="宋体" w:hAnsi="宋体" w:cs="宋体"/>
          <w:b/>
          <w:bCs/>
          <w:color w:val="C00000"/>
          <w:lang w:val="en-US" w:eastAsia="zh-CN"/>
        </w:rPr>
        <w:t>起止点：东起鸭绿江边，西至嘉峪关</w:t>
      </w:r>
    </w:p>
    <w:p>
      <w:pPr>
        <w:numPr>
          <w:ilvl w:val="0"/>
          <w:numId w:val="0"/>
        </w:numPr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b/>
          <w:bCs/>
          <w:color w:val="C00000"/>
          <w:lang w:val="en-US" w:eastAsia="zh-CN"/>
        </w:rPr>
        <w:t>作用：经济：促进长城沿线地区与民族之间的经济交流；政治：成为各民族之间的纽带，成为中华民族的象征；军事：形成了一个完整的军事防御体系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ascii="宋体" w:hAnsi="宋体" w:cs="宋体"/>
          <w:highlight w:val="yellow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明清北京城的营建是谁的基础之上？北京城的构成和特点？</w:t>
      </w:r>
      <w:r>
        <w:rPr>
          <w:rFonts w:hint="eastAsia" w:ascii="宋体" w:hAnsi="宋体" w:cs="宋体"/>
          <w:highlight w:val="none"/>
          <w:lang w:val="en-US" w:eastAsia="zh-CN"/>
        </w:rPr>
        <w:t>体现怎样的理念？</w:t>
      </w:r>
      <w:bookmarkStart w:id="0" w:name="_GoBack"/>
      <w:bookmarkEnd w:id="0"/>
    </w:p>
    <w:p>
      <w:pPr>
        <w:numPr>
          <w:numId w:val="0"/>
        </w:numPr>
        <w:ind w:leftChars="0"/>
        <w:rPr>
          <w:rFonts w:hint="default" w:ascii="宋体" w:hAnsi="宋体" w:cs="宋体"/>
          <w:highlight w:val="yellow"/>
          <w:lang w:val="en-US" w:eastAsia="zh-CN"/>
        </w:rPr>
      </w:pPr>
      <w:r>
        <w:rPr>
          <w:rFonts w:hint="eastAsia" w:ascii="宋体" w:hAnsi="宋体" w:cs="宋体"/>
          <w:b/>
          <w:bCs/>
          <w:color w:val="C00000"/>
          <w:lang w:val="en-US" w:eastAsia="zh-CN"/>
        </w:rPr>
        <w:t>元大都；构成：宫城、皇城、内城和外城；特点：呈“凸”字形，中轴对称，布局均衡，完整和谐。</w:t>
      </w:r>
      <w:r>
        <w:rPr>
          <w:rFonts w:hint="eastAsia" w:ascii="宋体" w:hAnsi="宋体" w:cs="宋体"/>
          <w:b/>
          <w:bCs/>
          <w:color w:val="C00000"/>
          <w:highlight w:val="yellow"/>
          <w:lang w:val="en-US" w:eastAsia="zh-CN"/>
        </w:rPr>
        <w:t>皇权至上</w:t>
      </w:r>
    </w:p>
    <w:p>
      <w:pPr>
        <w:numPr>
          <w:ilvl w:val="0"/>
          <w:numId w:val="0"/>
        </w:numPr>
        <w:ind w:leftChars="0"/>
        <w:rPr>
          <w:rFonts w:hint="default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5、明清时期的思想家有哪些？概括他们的主要思想</w:t>
      </w:r>
    </w:p>
    <w:tbl>
      <w:tblPr>
        <w:tblStyle w:val="3"/>
        <w:tblW w:w="98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7"/>
        <w:gridCol w:w="1629"/>
        <w:gridCol w:w="69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lang w:val="en-US" w:eastAsia="zh-CN"/>
              </w:rPr>
              <w:t>时期</w:t>
            </w:r>
          </w:p>
        </w:tc>
        <w:tc>
          <w:tcPr>
            <w:tcW w:w="162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lang w:val="en-US" w:eastAsia="zh-CN"/>
              </w:rPr>
              <w:t>思想家</w:t>
            </w:r>
          </w:p>
        </w:tc>
        <w:tc>
          <w:tcPr>
            <w:tcW w:w="6958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lang w:val="en-US" w:eastAsia="zh-CN"/>
              </w:rPr>
              <w:t>主要思想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/>
                <w:color w:val="C0000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  <w:t>明朝中期</w:t>
            </w:r>
          </w:p>
        </w:tc>
        <w:tc>
          <w:tcPr>
            <w:tcW w:w="162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/>
                <w:color w:val="C0000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王守仁</w:t>
            </w:r>
          </w:p>
        </w:tc>
        <w:tc>
          <w:tcPr>
            <w:tcW w:w="6958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b/>
                <w:bCs/>
                <w:color w:val="C0000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  <w:t>认为心是万物的主宰，提倡“心即理”“知行合一”“致良知”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7" w:type="dxa"/>
            <w:vMerge w:val="restart"/>
          </w:tcPr>
          <w:p>
            <w:pPr>
              <w:numPr>
                <w:ilvl w:val="0"/>
                <w:numId w:val="0"/>
              </w:numPr>
              <w:spacing w:line="720" w:lineRule="auto"/>
              <w:ind w:left="0" w:leftChars="0"/>
              <w:jc w:val="center"/>
              <w:rPr>
                <w:rFonts w:hint="default" w:ascii="宋体" w:hAnsi="宋体" w:eastAsia="宋体" w:cs="宋体"/>
                <w:b/>
                <w:bCs/>
                <w:color w:val="C0000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  <w:t>明末清初</w:t>
            </w:r>
          </w:p>
        </w:tc>
        <w:tc>
          <w:tcPr>
            <w:tcW w:w="162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/>
                <w:color w:val="C0000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黄宗羲</w:t>
            </w:r>
          </w:p>
        </w:tc>
        <w:tc>
          <w:tcPr>
            <w:tcW w:w="6958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b/>
                <w:bCs/>
                <w:color w:val="C0000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  <w:t>反对君主专制制度，批判“君为臣纲”的封建教条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7" w:type="dxa"/>
            <w:vMerge w:val="continue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color w:val="C00000"/>
                <w:vertAlign w:val="baseline"/>
                <w:lang w:val="en-US" w:eastAsia="zh-CN"/>
              </w:rPr>
            </w:pPr>
          </w:p>
        </w:tc>
        <w:tc>
          <w:tcPr>
            <w:tcW w:w="162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/>
                <w:color w:val="C0000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顾炎武</w:t>
            </w:r>
          </w:p>
        </w:tc>
        <w:tc>
          <w:tcPr>
            <w:tcW w:w="6958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b/>
                <w:bCs/>
                <w:color w:val="C0000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  <w:t>把“亡国”与“亡天下”作区分，认为改朝换代是亡国，文化沉沦是亡天下，主张“天下兴亡，匹夫有责”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7" w:type="dxa"/>
            <w:vMerge w:val="continue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color w:val="C00000"/>
                <w:vertAlign w:val="baseline"/>
                <w:lang w:val="en-US" w:eastAsia="zh-CN"/>
              </w:rPr>
            </w:pPr>
          </w:p>
        </w:tc>
        <w:tc>
          <w:tcPr>
            <w:tcW w:w="162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/>
                <w:color w:val="C0000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王夫之</w:t>
            </w:r>
          </w:p>
        </w:tc>
        <w:tc>
          <w:tcPr>
            <w:tcW w:w="6958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b/>
                <w:bCs/>
                <w:color w:val="C0000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  <w:t>朴素唯物主义思想家，认为社会是发展的，不能泥古不化、厚古薄今</w:t>
            </w:r>
          </w:p>
        </w:tc>
      </w:tr>
    </w:tbl>
    <w:p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6、明清小说繁荣发展的原因？列举其中的四大名著</w:t>
      </w:r>
    </w:p>
    <w:p>
      <w:pPr>
        <w:numPr>
          <w:ilvl w:val="0"/>
          <w:numId w:val="0"/>
        </w:numPr>
        <w:rPr>
          <w:rFonts w:hint="eastAsia" w:ascii="宋体" w:hAnsi="宋体" w:cs="宋体"/>
          <w:b/>
          <w:bCs/>
          <w:color w:val="C00000"/>
          <w:lang w:val="en-US" w:eastAsia="zh-CN"/>
        </w:rPr>
      </w:pPr>
      <w:r>
        <w:rPr>
          <w:rFonts w:hint="eastAsia" w:ascii="宋体" w:hAnsi="宋体" w:cs="宋体"/>
          <w:b/>
          <w:bCs/>
          <w:color w:val="C00000"/>
          <w:lang w:val="en-US" w:eastAsia="zh-CN"/>
        </w:rPr>
        <w:t>发展原因：明清时期商品经济的发展和市民文化的繁荣</w:t>
      </w:r>
    </w:p>
    <w:tbl>
      <w:tblPr>
        <w:tblStyle w:val="3"/>
        <w:tblW w:w="98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4873"/>
        <w:gridCol w:w="32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lang w:val="en-US" w:eastAsia="zh-CN"/>
              </w:rPr>
              <w:t>时间</w:t>
            </w:r>
          </w:p>
        </w:tc>
        <w:tc>
          <w:tcPr>
            <w:tcW w:w="487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lang w:val="en-US" w:eastAsia="zh-CN"/>
              </w:rPr>
              <w:t>书名</w:t>
            </w:r>
          </w:p>
        </w:tc>
        <w:tc>
          <w:tcPr>
            <w:tcW w:w="3285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lang w:val="en-US" w:eastAsia="zh-CN"/>
              </w:rPr>
              <w:t>作者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vertAlign w:val="baseline"/>
                <w:lang w:val="en-US" w:eastAsia="zh-CN"/>
              </w:rPr>
              <w:t>元末明初</w:t>
            </w:r>
          </w:p>
        </w:tc>
        <w:tc>
          <w:tcPr>
            <w:tcW w:w="487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b/>
                <w:bCs/>
                <w:color w:val="E54C5E" w:themeColor="accent6"/>
                <w:highlight w:val="yellow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E54C5E" w:themeColor="accent6"/>
                <w:highlight w:val="yellow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《三国演义》</w:t>
            </w:r>
          </w:p>
        </w:tc>
        <w:tc>
          <w:tcPr>
            <w:tcW w:w="3285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  <w:t>罗贯中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vertAlign w:val="baseline"/>
                <w:lang w:val="en-US" w:eastAsia="zh-CN"/>
              </w:rPr>
              <w:t>元末明初</w:t>
            </w:r>
          </w:p>
        </w:tc>
        <w:tc>
          <w:tcPr>
            <w:tcW w:w="487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b/>
                <w:bCs/>
                <w:color w:val="E54C5E" w:themeColor="accent6"/>
                <w:highlight w:val="yellow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E54C5E" w:themeColor="accent6"/>
                <w:highlight w:val="yellow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《水浒传》</w:t>
            </w:r>
          </w:p>
        </w:tc>
        <w:tc>
          <w:tcPr>
            <w:tcW w:w="3285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  <w:t>施耐庵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vertAlign w:val="baseline"/>
                <w:lang w:val="en-US" w:eastAsia="zh-CN"/>
              </w:rPr>
              <w:t>明朝中期</w:t>
            </w:r>
          </w:p>
        </w:tc>
        <w:tc>
          <w:tcPr>
            <w:tcW w:w="487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b/>
                <w:bCs/>
                <w:color w:val="E54C5E" w:themeColor="accent6"/>
                <w:highlight w:val="yellow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E54C5E" w:themeColor="accent6"/>
                <w:highlight w:val="yellow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《西游记》</w:t>
            </w:r>
          </w:p>
        </w:tc>
        <w:tc>
          <w:tcPr>
            <w:tcW w:w="3285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  <w:t>吴承恩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vertAlign w:val="baseline"/>
                <w:lang w:val="en-US" w:eastAsia="zh-CN"/>
              </w:rPr>
              <w:t>明朝中期</w:t>
            </w:r>
          </w:p>
        </w:tc>
        <w:tc>
          <w:tcPr>
            <w:tcW w:w="487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b/>
                <w:bCs/>
                <w:color w:val="E54C5E" w:themeColor="accent6"/>
                <w:highlight w:val="yellow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E54C5E" w:themeColor="accent6"/>
                <w:highlight w:val="yellow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《红楼梦》</w:t>
            </w:r>
          </w:p>
        </w:tc>
        <w:tc>
          <w:tcPr>
            <w:tcW w:w="3285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C00000"/>
                <w:vertAlign w:val="baseline"/>
                <w:lang w:val="en-US" w:eastAsia="zh-CN"/>
              </w:rPr>
              <w:t>曹雪芹</w:t>
            </w:r>
          </w:p>
        </w:tc>
      </w:tr>
    </w:tbl>
    <w:p>
      <w:pPr>
        <w:numPr>
          <w:ilvl w:val="0"/>
          <w:numId w:val="0"/>
        </w:numPr>
        <w:bidi w:val="0"/>
        <w:ind w:leftChars="0"/>
        <w:jc w:val="left"/>
        <w:rPr>
          <w:rFonts w:hint="default" w:eastAsia="宋体" w:cs="Times New Roman"/>
          <w:kern w:val="2"/>
          <w:sz w:val="21"/>
          <w:lang w:val="en-US" w:eastAsia="zh-CN" w:bidi="ar-SA"/>
        </w:rPr>
      </w:pPr>
    </w:p>
    <w:p>
      <w:pPr>
        <w:numPr>
          <w:ilvl w:val="0"/>
          <w:numId w:val="0"/>
        </w:numPr>
        <w:tabs>
          <w:tab w:val="left" w:pos="6096"/>
        </w:tabs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7、明清时期的昆曲有了怎样的发展？分别有哪些代表作？</w:t>
      </w:r>
      <w:r>
        <w:rPr>
          <w:rFonts w:hint="eastAsia" w:cs="Times New Roman"/>
          <w:kern w:val="2"/>
          <w:sz w:val="21"/>
          <w:lang w:val="en-US" w:eastAsia="zh-CN" w:bidi="ar-SA"/>
        </w:rPr>
        <w:tab/>
      </w:r>
    </w:p>
    <w:p>
      <w:pPr>
        <w:numPr>
          <w:ilvl w:val="0"/>
          <w:numId w:val="0"/>
        </w:numPr>
        <w:tabs>
          <w:tab w:val="left" w:pos="6096"/>
        </w:tabs>
        <w:bidi w:val="0"/>
        <w:jc w:val="left"/>
        <w:rPr>
          <w:rFonts w:hint="eastAsia" w:cs="Times New Roman"/>
          <w:b/>
          <w:bCs/>
          <w:color w:val="C00000"/>
          <w:kern w:val="2"/>
          <w:sz w:val="21"/>
          <w:lang w:val="en-US" w:eastAsia="zh-CN" w:bidi="ar-SA"/>
        </w:rPr>
      </w:pPr>
      <w:r>
        <w:rPr>
          <w:rFonts w:hint="eastAsia" w:cs="Times New Roman"/>
          <w:b/>
          <w:bCs/>
          <w:color w:val="C00000"/>
          <w:kern w:val="2"/>
          <w:sz w:val="21"/>
          <w:lang w:val="en-US" w:eastAsia="zh-CN" w:bidi="ar-SA"/>
        </w:rPr>
        <w:t>①明朝万历末年成为全国性的剧种，代表作：汤显祖《牡丹亭》</w:t>
      </w:r>
    </w:p>
    <w:p>
      <w:pPr>
        <w:numPr>
          <w:ilvl w:val="0"/>
          <w:numId w:val="0"/>
        </w:numPr>
        <w:tabs>
          <w:tab w:val="left" w:pos="6096"/>
        </w:tabs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b/>
          <w:bCs/>
          <w:color w:val="C00000"/>
          <w:kern w:val="2"/>
          <w:sz w:val="21"/>
          <w:lang w:val="en-US" w:eastAsia="zh-CN" w:bidi="ar-SA"/>
        </w:rPr>
        <w:t>②清朝前期，昆区艺术发展到鼎盛，代表作：洪昇《长生殿》、孔尚任《桃花扇》</w:t>
      </w:r>
    </w:p>
    <w:p>
      <w:pPr>
        <w:numPr>
          <w:ilvl w:val="0"/>
          <w:numId w:val="0"/>
        </w:numPr>
        <w:tabs>
          <w:tab w:val="left" w:pos="6096"/>
        </w:tabs>
        <w:bidi w:val="0"/>
        <w:ind w:left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8、京剧形成的过程？时间？其形成有什么特点？</w:t>
      </w:r>
    </w:p>
    <w:p>
      <w:pPr>
        <w:numPr>
          <w:ilvl w:val="0"/>
          <w:numId w:val="0"/>
        </w:numPr>
        <w:tabs>
          <w:tab w:val="left" w:pos="6096"/>
        </w:tabs>
        <w:bidi w:val="0"/>
        <w:ind w:leftChars="0"/>
        <w:jc w:val="left"/>
        <w:rPr>
          <w:rFonts w:hint="default" w:cs="Times New Roman"/>
          <w:b/>
          <w:bCs/>
          <w:color w:val="C00000"/>
          <w:kern w:val="2"/>
          <w:sz w:val="21"/>
          <w:lang w:val="en-US" w:eastAsia="zh-CN" w:bidi="ar-SA"/>
        </w:rPr>
      </w:pPr>
      <w:r>
        <w:rPr>
          <w:rFonts w:hint="eastAsia" w:cs="Times New Roman"/>
          <w:b/>
          <w:bCs/>
          <w:color w:val="C00000"/>
          <w:kern w:val="2"/>
          <w:sz w:val="21"/>
          <w:lang w:val="en-US" w:eastAsia="zh-CN" w:bidi="ar-SA"/>
        </w:rPr>
        <w:t>过程：徽调不断吸收昆曲、秦腔等地方戏的优点融合而成，又称“皮黄戏”“京戏”</w:t>
      </w:r>
    </w:p>
    <w:p>
      <w:pPr>
        <w:numPr>
          <w:ilvl w:val="0"/>
          <w:numId w:val="0"/>
        </w:numPr>
        <w:tabs>
          <w:tab w:val="left" w:pos="6096"/>
        </w:tabs>
        <w:bidi w:val="0"/>
        <w:ind w:leftChars="0"/>
        <w:jc w:val="left"/>
        <w:rPr>
          <w:rFonts w:hint="eastAsia" w:cs="Times New Roman"/>
          <w:b/>
          <w:bCs/>
          <w:color w:val="C00000"/>
          <w:kern w:val="2"/>
          <w:sz w:val="21"/>
          <w:lang w:val="en-US" w:eastAsia="zh-CN" w:bidi="ar-SA"/>
        </w:rPr>
      </w:pPr>
      <w:r>
        <w:rPr>
          <w:rFonts w:hint="eastAsia" w:cs="Times New Roman"/>
          <w:b/>
          <w:bCs/>
          <w:color w:val="C00000"/>
          <w:kern w:val="2"/>
          <w:sz w:val="21"/>
          <w:lang w:val="en-US" w:eastAsia="zh-CN" w:bidi="ar-SA"/>
        </w:rPr>
        <w:t>时间：道光年间</w:t>
      </w:r>
    </w:p>
    <w:p>
      <w:pPr>
        <w:numPr>
          <w:ilvl w:val="0"/>
          <w:numId w:val="0"/>
        </w:numPr>
        <w:tabs>
          <w:tab w:val="left" w:pos="6096"/>
        </w:tabs>
        <w:bidi w:val="0"/>
        <w:ind w:leftChars="0"/>
        <w:jc w:val="left"/>
        <w:rPr>
          <w:rFonts w:hint="default" w:cs="Times New Roman"/>
          <w:b/>
          <w:bCs/>
          <w:color w:val="C00000"/>
          <w:kern w:val="2"/>
          <w:sz w:val="21"/>
          <w:lang w:val="en-US" w:eastAsia="zh-CN" w:bidi="ar-SA"/>
        </w:rPr>
      </w:pPr>
      <w:r>
        <w:rPr>
          <w:rFonts w:hint="eastAsia" w:cs="Times New Roman"/>
          <w:b/>
          <w:bCs/>
          <w:color w:val="C00000"/>
          <w:kern w:val="2"/>
          <w:sz w:val="21"/>
          <w:lang w:val="en-US" w:eastAsia="zh-CN" w:bidi="ar-SA"/>
        </w:rPr>
        <w:t>特点：在继承中创新，兼收并蓄，博采众长</w:t>
      </w:r>
    </w:p>
    <w:sectPr>
      <w:pgSz w:w="11906" w:h="16838"/>
      <w:pgMar w:top="850" w:right="1134" w:bottom="850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D73A9ED"/>
    <w:multiLevelType w:val="singleLevel"/>
    <w:tmpl w:val="ED73A9E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7E007E"/>
    <w:rsid w:val="16563BF9"/>
    <w:rsid w:val="19EA527F"/>
    <w:rsid w:val="1A4C1ADC"/>
    <w:rsid w:val="202D4897"/>
    <w:rsid w:val="2E5F2C99"/>
    <w:rsid w:val="2F2FAA2B"/>
    <w:rsid w:val="327C771F"/>
    <w:rsid w:val="3C5E235F"/>
    <w:rsid w:val="3E5A1E69"/>
    <w:rsid w:val="42C36B4B"/>
    <w:rsid w:val="436F248C"/>
    <w:rsid w:val="4432035D"/>
    <w:rsid w:val="48FA0C76"/>
    <w:rsid w:val="4B387411"/>
    <w:rsid w:val="4F554210"/>
    <w:rsid w:val="540E055C"/>
    <w:rsid w:val="5BD85D31"/>
    <w:rsid w:val="5BE639B8"/>
    <w:rsid w:val="5DE52638"/>
    <w:rsid w:val="6E591189"/>
    <w:rsid w:val="72307267"/>
    <w:rsid w:val="74A46105"/>
    <w:rsid w:val="7A75F6C6"/>
    <w:rsid w:val="7A8E3109"/>
    <w:rsid w:val="BDFE8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929</Words>
  <Characters>932</Characters>
  <Lines>0</Lines>
  <Paragraphs>0</Paragraphs>
  <TotalTime>38</TotalTime>
  <ScaleCrop>false</ScaleCrop>
  <LinksUpToDate>false</LinksUpToDate>
  <CharactersWithSpaces>937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2025-05-13T00:07:00Z</dcterms:created>
  <dc:creator>25463</dc:creator>
  <cp:lastModifiedBy>蒋文艳pc</cp:lastModifiedBy>
  <dcterms:modified xsi:type="dcterms:W3CDTF">2025-06-19T07:13:40Z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  <property fmtid="{D5CDD505-2E9C-101B-9397-08002B2CF9AE}" pid="3" name="KSOTemplateDocerSaveRecord">
    <vt:lpwstr>eyJoZGlkIjoiNGUzOWUyNDg4ZmQzMmEyNzRjMDczNTEzZjg2MTAwNTMiLCJ1c2VySWQiOiIxNTUyNDQzMTM3In0=</vt:lpwstr>
  </property>
  <property fmtid="{D5CDD505-2E9C-101B-9397-08002B2CF9AE}" pid="4" name="ICV">
    <vt:lpwstr>36C413B4A5D74CAE9AC8221275A8D7A8_13</vt:lpwstr>
  </property>
</Properties>
</file>