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BC7739">
      <w:pPr>
        <w:spacing w:line="240" w:lineRule="auto"/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第四单元 新民主主义革命的兴起</w:t>
      </w:r>
    </w:p>
    <w:p w14:paraId="677DD934">
      <w:pPr>
        <w:numPr>
          <w:ilvl w:val="0"/>
          <w:numId w:val="1"/>
        </w:numPr>
        <w:spacing w:line="240" w:lineRule="auto"/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五四运动知识清单</w:t>
      </w:r>
    </w:p>
    <w:p w14:paraId="21B320AE">
      <w:pPr>
        <w:numPr>
          <w:ilvl w:val="0"/>
          <w:numId w:val="0"/>
        </w:numPr>
      </w:pPr>
      <w:r>
        <w:drawing>
          <wp:inline distT="0" distB="0" distL="114300" distR="114300">
            <wp:extent cx="5763260" cy="1331595"/>
            <wp:effectExtent l="160655" t="135255" r="172085" b="184150"/>
            <wp:docPr id="24" name="图片 23" descr="QQ截图202010211342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 descr="QQ截图20201021134235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3315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B4BD6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新文化运动</w:t>
      </w:r>
    </w:p>
    <w:p w14:paraId="4147FD9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背景：</w:t>
      </w:r>
      <w:r>
        <w:rPr>
          <w:rFonts w:hint="eastAsia" w:ascii="宋体" w:hAnsi="宋体" w:eastAsia="宋体" w:cs="宋体"/>
          <w:lang w:val="en-US" w:eastAsia="zh-CN"/>
        </w:rPr>
        <w:t>辛亥革命的失败和民国初期的政治混乱。</w:t>
      </w:r>
    </w:p>
    <w:p w14:paraId="3C39D5E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color w:val="auto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目的</w:t>
      </w: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t>（根本原因）：</w:t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把人们从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封建思想中解放出来</w:t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挽救民族危机</w:t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。</w:t>
      </w:r>
    </w:p>
    <w:p w14:paraId="22CDED0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color w:val="auto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t>兴起：</w:t>
      </w: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instrText xml:space="preserve"> = 1 \* GB3 \* MERGEFORMAT </w:instrText>
      </w: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b/>
          <w:bCs/>
          <w:color w:val="auto"/>
          <w:highlight w:val="none"/>
        </w:rPr>
        <w:t>①</w:t>
      </w: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fldChar w:fldCharType="end"/>
      </w: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t>发端：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1915</w:t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年，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陈独秀</w:t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在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上海</w:t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创办《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青年杂志</w:t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》，后改名《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新青年</w:t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》；</w:t>
      </w:r>
    </w:p>
    <w:p w14:paraId="40A823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color w:val="auto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instrText xml:space="preserve"> = 2 \* GB3 \* MERGEFORMAT </w:instrText>
      </w: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b/>
          <w:bCs/>
          <w:color w:val="auto"/>
          <w:highlight w:val="none"/>
        </w:rPr>
        <w:t>②</w:t>
      </w: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fldChar w:fldCharType="end"/>
      </w: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t>代表人物：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陈独秀</w:t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胡适</w:t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李大钊</w:t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鲁迅</w:t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等；</w:t>
      </w:r>
    </w:p>
    <w:p w14:paraId="6D016B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color w:val="auto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instrText xml:space="preserve"> = 3 \* GB3 \* MERGEFORMAT </w:instrText>
      </w: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b/>
          <w:bCs/>
          <w:color w:val="auto"/>
          <w:highlight w:val="none"/>
        </w:rPr>
        <w:t>③</w:t>
      </w: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fldChar w:fldCharType="end"/>
      </w: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t>影响扩大：</w:t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1917年，《新青年》编辑部迁到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北京</w:t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；</w:t>
      </w:r>
    </w:p>
    <w:p w14:paraId="710471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color w:val="auto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instrText xml:space="preserve"> = 4 \* GB3 \* MERGEFORMAT </w:instrText>
      </w: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b/>
          <w:bCs/>
          <w:color w:val="auto"/>
          <w:highlight w:val="none"/>
        </w:rPr>
        <w:t>④</w:t>
      </w: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fldChar w:fldCharType="end"/>
      </w: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t>主要阵地：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北京大学</w:t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、《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新青年</w:t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》编辑部。</w:t>
      </w:r>
    </w:p>
    <w:p w14:paraId="273131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宋体" w:hAnsi="宋体" w:eastAsia="宋体" w:cs="宋体"/>
          <w:color w:val="auto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(北京大学校长：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蔡元培</w:t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；学术氛围：“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兼容并包</w:t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”“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学术自由</w:t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”)</w:t>
      </w:r>
    </w:p>
    <w:p w14:paraId="3351F11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t>主要内容：</w:t>
      </w:r>
    </w:p>
    <w:p w14:paraId="6713AD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ascii="宋体" w:hAnsi="宋体" w:eastAsia="宋体" w:cs="宋体"/>
          <w:color w:val="auto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t>（1）思想革命：</w:t>
      </w: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instrText xml:space="preserve"> = 1 \* GB3 \* MERGEFORMAT </w:instrText>
      </w: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b/>
          <w:bCs/>
          <w:color w:val="auto"/>
          <w:highlight w:val="none"/>
        </w:rPr>
        <w:t>①</w:t>
      </w: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fldChar w:fldCharType="end"/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抨击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旧道德</w:t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旧文化</w:t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，反对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尊孔复古</w:t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逆流。</w:t>
      </w:r>
    </w:p>
    <w:p w14:paraId="2BA26F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1471" w:firstLineChars="700"/>
        <w:textAlignment w:val="auto"/>
        <w:rPr>
          <w:rFonts w:hint="eastAsia" w:ascii="宋体" w:hAnsi="宋体" w:eastAsia="宋体" w:cs="宋体"/>
          <w:color w:val="auto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instrText xml:space="preserve"> = 2 \* GB3 \* MERGEFORMAT </w:instrText>
      </w: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b/>
          <w:bCs/>
          <w:color w:val="auto"/>
          <w:highlight w:val="none"/>
        </w:rPr>
        <w:t>②</w:t>
      </w: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fldChar w:fldCharType="end"/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（基本口号）提倡：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民主</w:t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（“德先生”）、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科学</w:t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（“赛先生”）；反对：专制、愚昧</w:t>
      </w:r>
    </w:p>
    <w:p w14:paraId="112C70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ascii="宋体" w:hAnsi="宋体" w:eastAsia="宋体" w:cs="宋体"/>
          <w:color w:val="auto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代表作：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李大钊</w:t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《孔子与宪法》，反对定孔教为国教；鲁迅《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狂人日记</w:t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》深刻揭露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封建礼教</w:t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的吃人本质。</w:t>
      </w:r>
    </w:p>
    <w:p w14:paraId="7B431D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ascii="宋体" w:hAnsi="宋体" w:eastAsia="宋体" w:cs="宋体"/>
          <w:color w:val="auto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t>（2）文学革命：</w:t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主张以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白话文</w:t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作为新文学语言；</w:t>
      </w:r>
    </w:p>
    <w:p w14:paraId="776AE5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color w:val="auto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代表作：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胡适</w:t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《文学改良刍议》，陈独秀《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文学革命论</w:t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》。</w:t>
      </w:r>
    </w:p>
    <w:p w14:paraId="777B91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ascii="宋体" w:hAnsi="宋体" w:eastAsia="宋体" w:cs="宋体"/>
          <w:color w:val="auto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影响：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白话文和新文学</w:t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逐渐普及开来，更多人接受了新思想。</w:t>
      </w:r>
    </w:p>
    <w:p w14:paraId="6E0C73C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t>评价：</w:t>
      </w:r>
    </w:p>
    <w:p w14:paraId="53B31A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default" w:ascii="宋体" w:hAnsi="宋体" w:eastAsia="宋体" w:cs="宋体"/>
          <w:b/>
          <w:bCs/>
          <w:color w:val="auto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t>（1）积极作用：</w:t>
      </w:r>
    </w:p>
    <w:p w14:paraId="22321B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ascii="宋体" w:hAnsi="宋体" w:eastAsia="宋体" w:cs="宋体"/>
          <w:color w:val="auto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instrText xml:space="preserve"> = 1 \* GB3 \* MERGEFORMAT </w:instrText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</w:rPr>
        <w:t>①</w:t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t>新</w:t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文化运动动摇了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封建道德礼教的统治地位</w:t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，掀起了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一股思想解放潮流</w:t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；</w:t>
      </w:r>
    </w:p>
    <w:p w14:paraId="01B4D2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ascii="宋体" w:hAnsi="宋体" w:eastAsia="宋体" w:cs="宋体"/>
          <w:color w:val="auto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fldChar w:fldCharType="begin"/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instrText xml:space="preserve"> = 2 \* GB3 \* MERGEFORMAT </w:instrText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color w:val="auto"/>
          <w:highlight w:val="none"/>
        </w:rPr>
        <w:t>②</w:t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fldChar w:fldCharType="end"/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使中国人民接受了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一次民主与科学的洗礼</w:t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，对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随后爆发的五四运动起到了思想宣传和铺垫的作用</w:t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。</w:t>
      </w:r>
    </w:p>
    <w:p w14:paraId="68FB233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t>局限性：</w:t>
      </w:r>
    </w:p>
    <w:p w14:paraId="4CBDA0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color w:val="auto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新文化运动对中国传统文化的看法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具有一定的片面性</w:t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。</w:t>
      </w:r>
    </w:p>
    <w:p w14:paraId="2A605C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宋体" w:hAnsi="宋体" w:eastAsia="宋体" w:cs="宋体"/>
          <w:color w:val="auto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t>（3）启示：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取其精华，去其糟粕</w:t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。</w:t>
      </w:r>
    </w:p>
    <w:p w14:paraId="7835E218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t>五四运动的爆发</w:t>
      </w:r>
    </w:p>
    <w:p w14:paraId="7B892CFA">
      <w:pPr>
        <w:numPr>
          <w:ilvl w:val="0"/>
          <w:numId w:val="5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t>导火线：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巴黎和会上中国的外交失败</w:t>
      </w:r>
    </w:p>
    <w:p w14:paraId="59E8F707">
      <w:pPr>
        <w:numPr>
          <w:ilvl w:val="0"/>
          <w:numId w:val="5"/>
        </w:numPr>
        <w:spacing w:line="360" w:lineRule="auto"/>
        <w:ind w:leftChars="0"/>
        <w:rPr>
          <w:rFonts w:hint="default" w:ascii="宋体" w:hAnsi="宋体" w:eastAsia="宋体" w:cs="宋体"/>
          <w:b/>
          <w:bCs/>
          <w:color w:val="auto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t>经过：口号：</w:t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t>“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外争主权、内除国贼</w:t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t>”“誓死力争、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还我青岛</w:t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t>”“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取消二十一条</w:t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t>”“拒绝在合约上签字”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7"/>
        <w:gridCol w:w="1367"/>
        <w:gridCol w:w="1084"/>
        <w:gridCol w:w="1244"/>
        <w:gridCol w:w="1827"/>
        <w:gridCol w:w="2362"/>
      </w:tblGrid>
      <w:tr w14:paraId="222797F5">
        <w:tc>
          <w:tcPr>
            <w:tcW w:w="1367" w:type="dxa"/>
            <w:vAlign w:val="center"/>
          </w:tcPr>
          <w:p w14:paraId="710BF04C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eastAsia" w:ascii="宋体" w:hAnsi="宋体" w:eastAsia="宋体" w:cs="宋体"/>
                <w:b/>
                <w:bCs/>
                <w:color w:val="auto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367" w:type="dxa"/>
            <w:vAlign w:val="center"/>
          </w:tcPr>
          <w:p w14:paraId="54FD8470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eastAsia" w:ascii="宋体" w:hAnsi="宋体" w:eastAsia="宋体" w:cs="宋体"/>
                <w:b/>
                <w:bCs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highlight w:val="none"/>
                <w:vertAlign w:val="baseline"/>
                <w:lang w:val="en-US" w:eastAsia="zh-CN"/>
              </w:rPr>
              <w:t>时间</w:t>
            </w:r>
          </w:p>
        </w:tc>
        <w:tc>
          <w:tcPr>
            <w:tcW w:w="1084" w:type="dxa"/>
            <w:vAlign w:val="center"/>
          </w:tcPr>
          <w:p w14:paraId="0A396000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eastAsia" w:ascii="宋体" w:hAnsi="宋体" w:eastAsia="宋体" w:cs="宋体"/>
                <w:b/>
                <w:bCs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highlight w:val="none"/>
                <w:vertAlign w:val="baseline"/>
                <w:lang w:val="en-US" w:eastAsia="zh-CN"/>
              </w:rPr>
              <w:t>运动中心</w:t>
            </w:r>
          </w:p>
        </w:tc>
        <w:tc>
          <w:tcPr>
            <w:tcW w:w="1244" w:type="dxa"/>
            <w:vAlign w:val="center"/>
          </w:tcPr>
          <w:p w14:paraId="51CAD47B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eastAsia" w:ascii="宋体" w:hAnsi="宋体" w:eastAsia="宋体" w:cs="宋体"/>
                <w:b/>
                <w:bCs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highlight w:val="none"/>
                <w:vertAlign w:val="baseline"/>
                <w:lang w:val="en-US" w:eastAsia="zh-CN"/>
              </w:rPr>
              <w:t>主要力量</w:t>
            </w:r>
          </w:p>
        </w:tc>
        <w:tc>
          <w:tcPr>
            <w:tcW w:w="1827" w:type="dxa"/>
          </w:tcPr>
          <w:p w14:paraId="743097BC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eastAsia" w:ascii="宋体" w:hAnsi="宋体" w:eastAsia="宋体" w:cs="宋体"/>
                <w:b/>
                <w:bCs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highlight w:val="none"/>
                <w:vertAlign w:val="baseline"/>
                <w:lang w:val="en-US" w:eastAsia="zh-CN"/>
              </w:rPr>
              <w:t>主张</w:t>
            </w:r>
          </w:p>
        </w:tc>
        <w:tc>
          <w:tcPr>
            <w:tcW w:w="2362" w:type="dxa"/>
          </w:tcPr>
          <w:p w14:paraId="4E78E519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eastAsia" w:ascii="宋体" w:hAnsi="宋体" w:eastAsia="宋体" w:cs="宋体"/>
                <w:b/>
                <w:bCs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highlight w:val="none"/>
                <w:vertAlign w:val="baseline"/>
                <w:lang w:val="en-US" w:eastAsia="zh-CN"/>
              </w:rPr>
              <w:t>结果</w:t>
            </w:r>
          </w:p>
        </w:tc>
      </w:tr>
      <w:tr w14:paraId="229FB63E">
        <w:tc>
          <w:tcPr>
            <w:tcW w:w="1367" w:type="dxa"/>
            <w:vAlign w:val="center"/>
          </w:tcPr>
          <w:p w14:paraId="36936E73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eastAsia" w:ascii="宋体" w:hAnsi="宋体" w:eastAsia="宋体" w:cs="宋体"/>
                <w:b/>
                <w:bCs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highlight w:val="none"/>
                <w:vertAlign w:val="baseline"/>
                <w:lang w:val="en-US" w:eastAsia="zh-CN"/>
              </w:rPr>
              <w:t>第一阶段</w:t>
            </w:r>
          </w:p>
          <w:p w14:paraId="0376E619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eastAsia" w:ascii="宋体" w:hAnsi="宋体" w:eastAsia="宋体" w:cs="宋体"/>
                <w:b/>
                <w:bCs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highlight w:val="none"/>
                <w:vertAlign w:val="baseline"/>
                <w:lang w:val="en-US" w:eastAsia="zh-CN"/>
              </w:rPr>
              <w:t>（开始）</w:t>
            </w:r>
          </w:p>
        </w:tc>
        <w:tc>
          <w:tcPr>
            <w:tcW w:w="1367" w:type="dxa"/>
            <w:vAlign w:val="center"/>
          </w:tcPr>
          <w:p w14:paraId="424CA23D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eastAsia" w:ascii="宋体" w:hAnsi="宋体" w:eastAsia="宋体" w:cs="宋体"/>
                <w:b/>
                <w:bCs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highlight w:val="none"/>
                <w:u w:val="single"/>
                <w:lang w:val="en-US" w:eastAsia="zh-CN"/>
              </w:rPr>
              <w:t>1919.5.4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highlight w:val="none"/>
                <w:lang w:val="en-US" w:eastAsia="zh-CN"/>
              </w:rPr>
              <w:t>起</w:t>
            </w:r>
          </w:p>
        </w:tc>
        <w:tc>
          <w:tcPr>
            <w:tcW w:w="1084" w:type="dxa"/>
            <w:vAlign w:val="center"/>
          </w:tcPr>
          <w:p w14:paraId="565ED02F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eastAsia" w:ascii="宋体" w:hAnsi="宋体" w:eastAsia="宋体" w:cs="宋体"/>
                <w:b/>
                <w:bCs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highlight w:val="none"/>
                <w:u w:val="single"/>
                <w:vertAlign w:val="baseline"/>
                <w:lang w:val="en-US" w:eastAsia="zh-CN"/>
              </w:rPr>
              <w:t>北京</w:t>
            </w:r>
          </w:p>
        </w:tc>
        <w:tc>
          <w:tcPr>
            <w:tcW w:w="1244" w:type="dxa"/>
            <w:vAlign w:val="center"/>
          </w:tcPr>
          <w:p w14:paraId="761839F8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eastAsia" w:ascii="宋体" w:hAnsi="宋体" w:eastAsia="宋体" w:cs="宋体"/>
                <w:b/>
                <w:bCs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highlight w:val="none"/>
                <w:u w:val="single"/>
                <w:vertAlign w:val="baseline"/>
                <w:lang w:val="en-US" w:eastAsia="zh-CN"/>
              </w:rPr>
              <w:t>学生</w:t>
            </w:r>
          </w:p>
        </w:tc>
        <w:tc>
          <w:tcPr>
            <w:tcW w:w="1827" w:type="dxa"/>
            <w:vMerge w:val="restart"/>
          </w:tcPr>
          <w:p w14:paraId="2235CF56"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 w:ascii="宋体" w:hAnsi="宋体" w:eastAsia="宋体" w:cs="宋体"/>
                <w:b/>
                <w:bCs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highlight w:val="none"/>
                <w:lang w:val="en-US" w:eastAsia="zh-CN"/>
              </w:rPr>
              <w:t>严惩亲日派卖国贼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highlight w:val="none"/>
                <w:u w:val="single"/>
                <w:lang w:val="en-US" w:eastAsia="zh-CN"/>
              </w:rPr>
              <w:t>曹汝霖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highlight w:val="none"/>
                <w:lang w:val="en-US" w:eastAsia="zh-CN"/>
              </w:rPr>
              <w:t>、陆宗舆、章宗祥</w:t>
            </w:r>
          </w:p>
        </w:tc>
        <w:tc>
          <w:tcPr>
            <w:tcW w:w="2362" w:type="dxa"/>
            <w:vMerge w:val="restart"/>
          </w:tcPr>
          <w:p w14:paraId="52BC3942"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eastAsia" w:ascii="宋体" w:hAnsi="宋体" w:eastAsia="宋体" w:cs="宋体"/>
                <w:b w:val="0"/>
                <w:bCs w:val="0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highlight w:val="none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highlight w:val="none"/>
                <w:lang w:val="en-US" w:eastAsia="zh-CN"/>
              </w:rPr>
              <w:instrText xml:space="preserve"> = 1 \* GB3 \* MERGEFORMAT </w:instrTex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highlight w:val="none"/>
                <w:lang w:val="en-US" w:eastAsia="zh-CN"/>
              </w:rPr>
              <w:fldChar w:fldCharType="separate"/>
            </w:r>
            <w:r>
              <w:rPr>
                <w:rFonts w:hint="eastAsia" w:ascii="宋体" w:hAnsi="宋体" w:eastAsia="宋体" w:cs="宋体"/>
                <w:color w:val="auto"/>
                <w:highlight w:val="none"/>
              </w:rPr>
              <w:t>①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highlight w:val="none"/>
                <w:lang w:val="en-US" w:eastAsia="zh-CN"/>
              </w:rPr>
              <w:fldChar w:fldCharType="end"/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highlight w:val="none"/>
                <w:lang w:val="en-US" w:eastAsia="zh-CN"/>
              </w:rPr>
              <w:t>迫使北洋政府释放被捕学生；</w:t>
            </w:r>
          </w:p>
          <w:p w14:paraId="717208DC"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eastAsia" w:ascii="宋体" w:hAnsi="宋体" w:eastAsia="宋体" w:cs="宋体"/>
                <w:b w:val="0"/>
                <w:bCs w:val="0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highlight w:val="none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highlight w:val="none"/>
                <w:lang w:val="en-US" w:eastAsia="zh-CN"/>
              </w:rPr>
              <w:instrText xml:space="preserve"> = 2 \* GB3 \* MERGEFORMAT </w:instrTex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highlight w:val="none"/>
                <w:lang w:val="en-US" w:eastAsia="zh-CN"/>
              </w:rPr>
              <w:fldChar w:fldCharType="separate"/>
            </w:r>
            <w:r>
              <w:rPr>
                <w:rFonts w:hint="eastAsia" w:ascii="宋体" w:hAnsi="宋体" w:eastAsia="宋体" w:cs="宋体"/>
                <w:color w:val="auto"/>
                <w:highlight w:val="none"/>
              </w:rPr>
              <w:t>②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highlight w:val="none"/>
                <w:lang w:val="en-US" w:eastAsia="zh-CN"/>
              </w:rPr>
              <w:fldChar w:fldCharType="end"/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highlight w:val="none"/>
                <w:lang w:val="en-US" w:eastAsia="zh-CN"/>
              </w:rPr>
              <w:t>罢免曹汝霖等人职务；</w:t>
            </w:r>
          </w:p>
          <w:p w14:paraId="35F90C59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highlight w:val="none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highlight w:val="none"/>
                <w:lang w:val="en-US" w:eastAsia="zh-CN"/>
              </w:rPr>
              <w:instrText xml:space="preserve"> = 3 \* GB3 \* MERGEFORMAT </w:instrTex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highlight w:val="none"/>
                <w:lang w:val="en-US" w:eastAsia="zh-CN"/>
              </w:rPr>
              <w:fldChar w:fldCharType="separate"/>
            </w:r>
            <w:r>
              <w:rPr>
                <w:rFonts w:hint="eastAsia" w:ascii="宋体" w:hAnsi="宋体" w:eastAsia="宋体" w:cs="宋体"/>
                <w:color w:val="auto"/>
                <w:highlight w:val="none"/>
              </w:rPr>
              <w:t>③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highlight w:val="none"/>
                <w:lang w:val="en-US" w:eastAsia="zh-CN"/>
              </w:rPr>
              <w:fldChar w:fldCharType="end"/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highlight w:val="none"/>
                <w:lang w:val="en-US" w:eastAsia="zh-CN"/>
              </w:rPr>
              <w:t>中国代表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highlight w:val="none"/>
                <w:u w:val="single"/>
                <w:lang w:val="en-US" w:eastAsia="zh-CN"/>
              </w:rPr>
              <w:t>没有在“巴黎和约”上签字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highlight w:val="none"/>
                <w:lang w:val="en-US" w:eastAsia="zh-CN"/>
              </w:rPr>
              <w:t>。</w:t>
            </w:r>
          </w:p>
          <w:p w14:paraId="1B409DFB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eastAsia" w:ascii="宋体" w:hAnsi="宋体" w:eastAsia="宋体" w:cs="宋体"/>
                <w:b/>
                <w:bCs/>
                <w:color w:val="auto"/>
                <w:highlight w:val="none"/>
                <w:vertAlign w:val="baseline"/>
                <w:lang w:val="en-US" w:eastAsia="zh-CN"/>
              </w:rPr>
            </w:pPr>
          </w:p>
        </w:tc>
      </w:tr>
      <w:tr w14:paraId="4CBC8160">
        <w:tc>
          <w:tcPr>
            <w:tcW w:w="1367" w:type="dxa"/>
            <w:shd w:val="clear" w:color="auto" w:fill="auto"/>
            <w:vAlign w:val="center"/>
          </w:tcPr>
          <w:p w14:paraId="2AD1D2D6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eastAsia" w:ascii="宋体" w:hAnsi="宋体" w:eastAsia="宋体" w:cs="宋体"/>
                <w:b/>
                <w:bCs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highlight w:val="none"/>
                <w:vertAlign w:val="baseline"/>
                <w:lang w:val="en-US" w:eastAsia="zh-CN"/>
              </w:rPr>
              <w:t>第二阶段</w:t>
            </w:r>
          </w:p>
          <w:p w14:paraId="30A6F41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highlight w:val="none"/>
                <w:vertAlign w:val="baseline"/>
                <w:lang w:val="en-US" w:eastAsia="zh-CN"/>
              </w:rPr>
              <w:t>（扩大）</w:t>
            </w:r>
          </w:p>
        </w:tc>
        <w:tc>
          <w:tcPr>
            <w:tcW w:w="1367" w:type="dxa"/>
            <w:vAlign w:val="center"/>
          </w:tcPr>
          <w:p w14:paraId="7221B347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宋体" w:hAnsi="宋体" w:eastAsia="宋体" w:cs="宋体"/>
                <w:b/>
                <w:bCs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highlight w:val="none"/>
                <w:u w:val="single"/>
                <w:lang w:val="en-US" w:eastAsia="zh-CN"/>
              </w:rPr>
              <w:t>1919.6.5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highlight w:val="none"/>
                <w:lang w:val="en-US" w:eastAsia="zh-CN"/>
              </w:rPr>
              <w:t>起</w:t>
            </w:r>
          </w:p>
        </w:tc>
        <w:tc>
          <w:tcPr>
            <w:tcW w:w="1084" w:type="dxa"/>
            <w:vAlign w:val="center"/>
          </w:tcPr>
          <w:p w14:paraId="11D5DB66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宋体" w:hAnsi="宋体" w:eastAsia="宋体" w:cs="宋体"/>
                <w:b/>
                <w:bCs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highlight w:val="none"/>
                <w:u w:val="single"/>
                <w:vertAlign w:val="baseline"/>
                <w:lang w:val="en-US" w:eastAsia="zh-CN"/>
              </w:rPr>
              <w:t>上海</w:t>
            </w:r>
          </w:p>
        </w:tc>
        <w:tc>
          <w:tcPr>
            <w:tcW w:w="1244" w:type="dxa"/>
            <w:vAlign w:val="center"/>
          </w:tcPr>
          <w:p w14:paraId="1BD14118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宋体" w:hAnsi="宋体" w:eastAsia="宋体" w:cs="宋体"/>
                <w:b/>
                <w:bCs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highlight w:val="none"/>
                <w:u w:val="single"/>
                <w:vertAlign w:val="baseline"/>
                <w:lang w:val="en-US" w:eastAsia="zh-CN"/>
              </w:rPr>
              <w:t>工人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highlight w:val="none"/>
                <w:vertAlign w:val="baseline"/>
                <w:lang w:val="en-US" w:eastAsia="zh-CN"/>
              </w:rPr>
              <w:t>、商人</w:t>
            </w:r>
          </w:p>
        </w:tc>
        <w:tc>
          <w:tcPr>
            <w:tcW w:w="1827" w:type="dxa"/>
            <w:vMerge w:val="continue"/>
          </w:tcPr>
          <w:p w14:paraId="63A3AB39">
            <w:pPr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/>
                <w:bCs/>
                <w:color w:val="auto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362" w:type="dxa"/>
            <w:vMerge w:val="continue"/>
          </w:tcPr>
          <w:p w14:paraId="4E956822">
            <w:pPr>
              <w:numPr>
                <w:ilvl w:val="0"/>
                <w:numId w:val="0"/>
              </w:numPr>
              <w:spacing w:line="240" w:lineRule="auto"/>
              <w:rPr>
                <w:rFonts w:hint="default" w:ascii="宋体" w:hAnsi="宋体" w:eastAsia="宋体" w:cs="宋体"/>
                <w:b/>
                <w:bCs/>
                <w:color w:val="auto"/>
                <w:highlight w:val="none"/>
                <w:vertAlign w:val="baseline"/>
                <w:lang w:val="en-US" w:eastAsia="zh-CN"/>
              </w:rPr>
            </w:pPr>
          </w:p>
        </w:tc>
      </w:tr>
    </w:tbl>
    <w:p w14:paraId="00CF0911">
      <w:pPr>
        <w:numPr>
          <w:ilvl w:val="0"/>
          <w:numId w:val="0"/>
        </w:numPr>
        <w:spacing w:line="360" w:lineRule="auto"/>
        <w:rPr>
          <w:rFonts w:hint="default" w:ascii="宋体" w:hAnsi="宋体" w:eastAsia="宋体" w:cs="宋体"/>
          <w:b/>
          <w:bCs/>
          <w:color w:val="auto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t>（社会各界压力：1919.6.11 陈独秀等人散发《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北京市民宣言</w:t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t>》，号召学生、商人、劳工继续斗争，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对社会进行根本改造</w:t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t>。）</w:t>
      </w:r>
    </w:p>
    <w:p w14:paraId="0F67CD1E">
      <w:pPr>
        <w:numPr>
          <w:ilvl w:val="0"/>
          <w:numId w:val="5"/>
        </w:numPr>
        <w:spacing w:line="360" w:lineRule="auto"/>
        <w:ind w:left="0" w:leftChars="0" w:firstLine="0" w:firstLineChars="0"/>
        <w:rPr>
          <w:rFonts w:hint="default" w:ascii="宋体" w:hAnsi="宋体" w:eastAsia="宋体" w:cs="宋体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t>性质：</w:t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t>五四运动</w:t>
      </w:r>
    </w:p>
    <w:p w14:paraId="0B73D2C3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instrText xml:space="preserve"> = 1 \* GB3 \* MERGEFORMAT </w:instrText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fldChar w:fldCharType="separate"/>
      </w:r>
      <w:r>
        <w:rPr>
          <w:color w:val="auto"/>
          <w:highlight w:val="none"/>
        </w:rPr>
        <w:t>①</w:t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t>是一场以先进青年知识分子为先锋、广大人民群众参加的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彻底的反帝反封建的伟大爱国革命运动</w:t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t>；</w:t>
      </w:r>
    </w:p>
    <w:p w14:paraId="7496894D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instrText xml:space="preserve"> = 2 \* GB3 \* MERGEFORMAT </w:instrText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fldChar w:fldCharType="separate"/>
      </w:r>
      <w:r>
        <w:rPr>
          <w:color w:val="auto"/>
          <w:highlight w:val="none"/>
        </w:rPr>
        <w:t>②</w:t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t>是一场中国人民为拯救民族危亡、捍卫民族尊严、凝聚民族力量而掀起的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伟大社会革命运动</w:t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t>；</w:t>
      </w:r>
    </w:p>
    <w:p w14:paraId="74F2B0E6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instrText xml:space="preserve"> = 3 \* GB3 \* MERGEFORMAT </w:instrText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fldChar w:fldCharType="separate"/>
      </w:r>
      <w:r>
        <w:rPr>
          <w:color w:val="auto"/>
          <w:highlight w:val="none"/>
        </w:rPr>
        <w:t>③</w:t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t>是一场传播新思想新文化新知识的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伟大思想启蒙运动</w:t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t>。</w:t>
      </w:r>
    </w:p>
    <w:p w14:paraId="4A6318D4">
      <w:pPr>
        <w:numPr>
          <w:ilvl w:val="0"/>
          <w:numId w:val="5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t>历史意义：</w:t>
      </w:r>
    </w:p>
    <w:p w14:paraId="25FE5A05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instrText xml:space="preserve"> = 1 \* GB3 \* MERGEFORMAT </w:instrText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fldChar w:fldCharType="separate"/>
      </w:r>
      <w:r>
        <w:rPr>
          <w:color w:val="auto"/>
          <w:highlight w:val="none"/>
        </w:rPr>
        <w:t>①</w:t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t>五四运动推动了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社会进步</w:t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t>，促进了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马克思主义在中国的传播及其与中国工人运动的结合</w:t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为中国共产党成立做了思想上干部上的准备</w:t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t>；</w:t>
      </w:r>
    </w:p>
    <w:p w14:paraId="42C03817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instrText xml:space="preserve"> = 2 \* GB3 \* MERGEFORMAT </w:instrText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fldChar w:fldCharType="separate"/>
      </w:r>
      <w:r>
        <w:rPr>
          <w:color w:val="auto"/>
          <w:highlight w:val="none"/>
        </w:rPr>
        <w:t>②</w:t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t>五四运动是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中国旧民主主义革命走向新民主主义革命的转折点</w:t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t>。</w:t>
      </w:r>
    </w:p>
    <w:p w14:paraId="128682E4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instrText xml:space="preserve"> = 3 \* GB3 \* MERGEFORMAT </w:instrText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fldChar w:fldCharType="separate"/>
      </w:r>
      <w:r>
        <w:rPr>
          <w:color w:val="auto"/>
          <w:highlight w:val="none"/>
        </w:rPr>
        <w:t>③</w:t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t>五四运动孕育了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伟大的五四精神</w:t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t>。</w:t>
      </w:r>
    </w:p>
    <w:p w14:paraId="0E856665">
      <w:pPr>
        <w:numPr>
          <w:ilvl w:val="0"/>
          <w:numId w:val="5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t>五四精神：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爱国</w:t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进步</w:t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民主</w:t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科学</w:t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t>，其核心是</w:t>
      </w:r>
      <w:r>
        <w:rPr>
          <w:rFonts w:hint="eastAsia" w:ascii="宋体" w:hAnsi="宋体" w:eastAsia="宋体" w:cs="宋体"/>
          <w:b/>
          <w:bCs/>
          <w:color w:val="auto"/>
          <w:highlight w:val="none"/>
          <w:u w:val="single"/>
          <w:lang w:val="en-US" w:eastAsia="zh-CN"/>
        </w:rPr>
        <w:t>爱国主义精神</w:t>
      </w: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t>。</w:t>
      </w:r>
    </w:p>
    <w:p w14:paraId="4AFB0F84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b w:val="0"/>
          <w:bCs w:val="0"/>
          <w:color w:val="auto"/>
          <w:highlight w:val="none"/>
          <w:lang w:val="en-US" w:eastAsia="zh-CN"/>
        </w:rPr>
      </w:pPr>
      <w:bookmarkStart w:id="0" w:name="_GoBack"/>
      <w:bookmarkEnd w:id="0"/>
    </w:p>
    <w:p w14:paraId="241C054B">
      <w:pPr>
        <w:numPr>
          <w:ilvl w:val="0"/>
          <w:numId w:val="0"/>
        </w:numPr>
        <w:ind w:leftChars="0"/>
        <w:rPr>
          <w:rFonts w:hint="default"/>
          <w:color w:val="auto"/>
          <w:highlight w:val="none"/>
          <w:lang w:val="en-US" w:eastAsia="zh-CN"/>
        </w:rPr>
      </w:pPr>
    </w:p>
    <w:sectPr>
      <w:footerReference r:id="rId3" w:type="default"/>
      <w:pgSz w:w="10488" w:h="14740"/>
      <w:pgMar w:top="567" w:right="567" w:bottom="567" w:left="56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C518B9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E8DFC59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E8DFC59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BE6B0E"/>
    <w:multiLevelType w:val="singleLevel"/>
    <w:tmpl w:val="BEBE6B0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B36BE96"/>
    <w:multiLevelType w:val="singleLevel"/>
    <w:tmpl w:val="FB36BE96"/>
    <w:lvl w:ilvl="0" w:tentative="0">
      <w:start w:val="1"/>
      <w:numFmt w:val="decimal"/>
      <w:suff w:val="nothing"/>
      <w:lvlText w:val="%1、"/>
      <w:lvlJc w:val="left"/>
      <w:rPr>
        <w:rFonts w:hint="default"/>
        <w:b/>
        <w:bCs/>
      </w:rPr>
    </w:lvl>
  </w:abstractNum>
  <w:abstractNum w:abstractNumId="2">
    <w:nsid w:val="7336423C"/>
    <w:multiLevelType w:val="singleLevel"/>
    <w:tmpl w:val="7336423C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77FA941B"/>
    <w:multiLevelType w:val="singleLevel"/>
    <w:tmpl w:val="77FA941B"/>
    <w:lvl w:ilvl="0" w:tentative="0">
      <w:start w:val="11"/>
      <w:numFmt w:val="decimal"/>
      <w:suff w:val="space"/>
      <w:lvlText w:val="第%1课"/>
      <w:lvlJc w:val="left"/>
    </w:lvl>
  </w:abstractNum>
  <w:abstractNum w:abstractNumId="4">
    <w:nsid w:val="7BDE6580"/>
    <w:multiLevelType w:val="singleLevel"/>
    <w:tmpl w:val="7BDE6580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FFF5605"/>
    <w:rsid w:val="17F36325"/>
    <w:rsid w:val="30B72131"/>
    <w:rsid w:val="3F63F12E"/>
    <w:rsid w:val="5FAFC763"/>
    <w:rsid w:val="5FDE2E24"/>
    <w:rsid w:val="621D12B5"/>
    <w:rsid w:val="72B61BC9"/>
    <w:rsid w:val="72DFF02C"/>
    <w:rsid w:val="749F135C"/>
    <w:rsid w:val="75BFF169"/>
    <w:rsid w:val="7EDFAFAF"/>
    <w:rsid w:val="AAEF018C"/>
    <w:rsid w:val="B1BFB19C"/>
    <w:rsid w:val="BFA5A875"/>
    <w:rsid w:val="C5F6287B"/>
    <w:rsid w:val="CD9638CF"/>
    <w:rsid w:val="CE7E85A0"/>
    <w:rsid w:val="CFFF5605"/>
    <w:rsid w:val="DCBF57DA"/>
    <w:rsid w:val="DFB614CD"/>
    <w:rsid w:val="EB793E98"/>
    <w:rsid w:val="ED3DFB08"/>
    <w:rsid w:val="F7DDF2A4"/>
    <w:rsid w:val="FDFC1E47"/>
    <w:rsid w:val="FF695C0E"/>
    <w:rsid w:val="FF77E1CF"/>
    <w:rsid w:val="FFDE8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1012</Words>
  <Characters>1040</Characters>
  <Lines>0</Lines>
  <Paragraphs>0</Paragraphs>
  <TotalTime>19</TotalTime>
  <ScaleCrop>false</ScaleCrop>
  <LinksUpToDate>false</LinksUpToDate>
  <CharactersWithSpaces>1069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2025-11-22T02:05:00Z</dcterms:created>
  <dc:creator>Joanna.w</dc:creator>
  <cp:lastModifiedBy>Joanna.w</cp:lastModifiedBy>
  <dcterms:modified xsi:type="dcterms:W3CDTF">2025-11-26T15:52:56Z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47C37829B1BF4333BB1ABF5C1909336E_13</vt:lpwstr>
  </property>
  <property fmtid="{D5CDD505-2E9C-101B-9397-08002B2CF9AE}" pid="4" name="KSOTemplateDocerSaveRecord">
    <vt:lpwstr>eyJoZGlkIjoiN2ZkN2U0NTE2ZWZjNGNkOGYwMTY5ODIwZjEyYjUxNGMiLCJ1c2VySWQiOiI3NDQ4MTY2ODEifQ==</vt:lpwstr>
  </property>
</Properties>
</file>