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9EB6" w14:textId="77777777" w:rsidR="00CD0D71" w:rsidRPr="00CD0D71" w:rsidRDefault="00CD0D71" w:rsidP="00CD0D71">
      <w:pPr>
        <w:jc w:val="center"/>
        <w:rPr>
          <w:rFonts w:ascii="等线" w:eastAsia="等线" w:hAnsi="等线"/>
          <w:b/>
          <w:bCs/>
          <w:sz w:val="24"/>
        </w:rPr>
      </w:pPr>
      <w:r w:rsidRPr="00CD0D71">
        <w:rPr>
          <w:rFonts w:ascii="等线" w:eastAsia="等线" w:hAnsi="等线" w:hint="eastAsia"/>
          <w:b/>
          <w:bCs/>
          <w:sz w:val="24"/>
        </w:rPr>
        <w:t>第五单元：走向近代</w:t>
      </w:r>
    </w:p>
    <w:p w14:paraId="343C84D5" w14:textId="0E6C47B8" w:rsidR="00CD0D71" w:rsidRPr="00CD0D71" w:rsidRDefault="00CD0D71" w:rsidP="00CD0D71">
      <w:pPr>
        <w:jc w:val="center"/>
        <w:rPr>
          <w:rFonts w:ascii="等线" w:eastAsia="等线" w:hAnsi="等线"/>
          <w:b/>
          <w:bCs/>
          <w:sz w:val="24"/>
        </w:rPr>
      </w:pPr>
      <w:r w:rsidRPr="00CD0D71">
        <w:rPr>
          <w:rFonts w:ascii="等线" w:eastAsia="等线" w:hAnsi="等线" w:hint="eastAsia"/>
          <w:b/>
          <w:bCs/>
          <w:sz w:val="24"/>
        </w:rPr>
        <w:t>第13课 西欧经济社会发展与文艺复兴运动</w:t>
      </w:r>
      <w:r>
        <w:rPr>
          <w:rFonts w:ascii="等线" w:eastAsia="等线" w:hAnsi="等线" w:hint="eastAsia"/>
          <w:b/>
          <w:bCs/>
          <w:sz w:val="24"/>
        </w:rPr>
        <w:t xml:space="preserve"> 答案</w:t>
      </w:r>
    </w:p>
    <w:p w14:paraId="2EB0427B" w14:textId="181EF5A3" w:rsidR="00CD0D71" w:rsidRPr="00CD0D71" w:rsidRDefault="00CD0D71" w:rsidP="00CD0D71">
      <w:pPr>
        <w:pStyle w:val="a0"/>
        <w:ind w:firstLineChars="2100" w:firstLine="4410"/>
        <w:rPr>
          <w:rFonts w:ascii="等线" w:eastAsia="等线" w:hAnsi="等线" w:hint="eastAsia"/>
          <w:sz w:val="21"/>
          <w:szCs w:val="21"/>
        </w:rPr>
      </w:pPr>
      <w:r w:rsidRPr="00CD0D71">
        <w:rPr>
          <w:rFonts w:ascii="等线" w:eastAsia="等线" w:hAnsi="等线" w:hint="eastAsia"/>
          <w:sz w:val="21"/>
          <w:szCs w:val="21"/>
        </w:rPr>
        <w:t>班级：</w:t>
      </w:r>
      <w:r>
        <w:rPr>
          <w:rFonts w:ascii="等线" w:eastAsia="等线" w:hAnsi="等线" w:hint="eastAsia"/>
          <w:sz w:val="21"/>
          <w:szCs w:val="21"/>
          <w:u w:val="single"/>
        </w:rPr>
        <w:t xml:space="preserve">           </w:t>
      </w:r>
      <w:r>
        <w:rPr>
          <w:rFonts w:ascii="等线" w:eastAsia="等线" w:hAnsi="等线" w:hint="eastAsia"/>
          <w:sz w:val="21"/>
          <w:szCs w:val="21"/>
        </w:rPr>
        <w:t xml:space="preserve"> </w:t>
      </w:r>
      <w:r w:rsidRPr="00CD0D71">
        <w:rPr>
          <w:rFonts w:ascii="等线" w:eastAsia="等线" w:hAnsi="等线" w:hint="eastAsia"/>
          <w:sz w:val="21"/>
          <w:szCs w:val="21"/>
        </w:rPr>
        <w:t>姓名：</w:t>
      </w:r>
      <w:r>
        <w:rPr>
          <w:rFonts w:ascii="等线" w:eastAsia="等线" w:hAnsi="等线" w:hint="eastAsia"/>
          <w:sz w:val="21"/>
          <w:szCs w:val="21"/>
          <w:u w:val="single"/>
        </w:rPr>
        <w:t xml:space="preserve">           </w:t>
      </w:r>
    </w:p>
    <w:p w14:paraId="10C0BB9E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一、租地农场和手工工场（它们的出现标志着西欧资本主义的萌芽）</w:t>
      </w:r>
    </w:p>
    <w:p w14:paraId="4CEA66E0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（一）租地农场（农业领域）</w:t>
      </w:r>
    </w:p>
    <w:p w14:paraId="57798E58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1.背景：11世纪开始，西欧农村发生新变化，表现为：⑴各地开垦林地、荒地，耕地面积大大增加，农业产量提高。农产品进入市场，促进了商品经济的发展。⑵封建领主对农民的束缚也逐渐减轻。</w:t>
      </w:r>
    </w:p>
    <w:p w14:paraId="6D56A02E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2.时间地点：约14世纪开始，英国等西欧地区。</w:t>
      </w:r>
    </w:p>
    <w:p w14:paraId="2F4BF93A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3.发展：⑴封建领主出租土地，获得租金，不再直接参与生产管理。</w:t>
      </w:r>
    </w:p>
    <w:p w14:paraId="10A4EAEF" w14:textId="77777777" w:rsidR="00CD0D71" w:rsidRPr="00CD0D71" w:rsidRDefault="00CD0D71" w:rsidP="00CD0D71">
      <w:pPr>
        <w:ind w:firstLineChars="400" w:firstLine="840"/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⑵富裕农民通过承租或购买土地，不断扩大生产规模，建立租地农场。</w:t>
      </w:r>
    </w:p>
    <w:p w14:paraId="21D58388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4.特点：改进农业生产技术，采用新的生产方式经营，雇用少地或无地的农民耕种，农产品运往市场销售。</w:t>
      </w:r>
    </w:p>
    <w:p w14:paraId="1723AE6F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（二）手工工场（手工业领域）</w:t>
      </w:r>
    </w:p>
    <w:p w14:paraId="4EE78A60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1.地点：意大利等地。</w:t>
      </w:r>
    </w:p>
    <w:p w14:paraId="23B46B9B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2.发展：分散的手工工场 → 集中的手工工场。</w:t>
      </w:r>
    </w:p>
    <w:p w14:paraId="5B90CDE8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3.特点：商人或手工工场主掌握生产资料，提供生产工具，雇用工人在同一场所进行生产。工人分工协作，提高了劳动生产率。</w:t>
      </w:r>
    </w:p>
    <w:p w14:paraId="5D382AC0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（三）影响</w:t>
      </w:r>
      <w:r w:rsidRPr="00CD0D71">
        <w:rPr>
          <w:rFonts w:ascii="等线" w:eastAsia="等线" w:hAnsi="等线" w:hint="eastAsia"/>
        </w:rPr>
        <w:tab/>
        <w:t>（生产力发展推动生产关系变化）</w:t>
      </w:r>
    </w:p>
    <w:p w14:paraId="4ECCF00D" w14:textId="77777777" w:rsidR="00CD0D71" w:rsidRPr="00CD0D71" w:rsidRDefault="00CD0D71" w:rsidP="00CD0D71">
      <w:pPr>
        <w:ind w:left="1260" w:hangingChars="600" w:hanging="1260"/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⑴经济转型：租地农场和手工工场的出现和发展，推动农业和手工业逐渐资本主义化，改变中世纪西欧社会的整体面貌。</w:t>
      </w:r>
    </w:p>
    <w:p w14:paraId="2721F692" w14:textId="77777777" w:rsidR="00CD0D71" w:rsidRPr="00CD0D71" w:rsidRDefault="00CD0D71" w:rsidP="00CD0D71">
      <w:pPr>
        <w:ind w:left="1260" w:hangingChars="600" w:hanging="1260"/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⑵阶级催生：随着经济实力增强，租地农场主、商人和手工工场主，不满封建领主的统治和束缚，提出了自己的政治和经济诉求。新兴资产阶级开始形成。</w:t>
      </w:r>
    </w:p>
    <w:p w14:paraId="5CFCFC54" w14:textId="77777777" w:rsidR="00CD0D71" w:rsidRPr="00CD0D71" w:rsidRDefault="00CD0D71" w:rsidP="00CD0D71">
      <w:pPr>
        <w:pStyle w:val="a0"/>
        <w:ind w:firstLineChars="0" w:firstLine="0"/>
        <w:rPr>
          <w:rFonts w:ascii="等线" w:eastAsia="等线" w:hAnsi="等线"/>
        </w:rPr>
      </w:pPr>
      <w:r w:rsidRPr="00CD0D71">
        <w:rPr>
          <w:rFonts w:ascii="等线" w:eastAsia="等线" w:hAnsi="等线" w:cs="宋体" w:hint="eastAsia"/>
          <w:sz w:val="21"/>
          <w:szCs w:val="21"/>
        </w:rPr>
        <w:t>(3)奠定基础：新兴阶层产生新的经济、政治诉求，为文艺复兴和近代社会转型奠定经济与阶级基础。</w:t>
      </w:r>
    </w:p>
    <w:p w14:paraId="706912AE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二、文艺复兴运动（人被发现）</w:t>
      </w:r>
    </w:p>
    <w:p w14:paraId="09FE9A32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1.背景（原因）</w:t>
      </w:r>
      <w:r w:rsidRPr="00CD0D71">
        <w:rPr>
          <w:rFonts w:ascii="等线" w:eastAsia="等线" w:hAnsi="等线" w:hint="eastAsia"/>
        </w:rPr>
        <w:tab/>
      </w:r>
    </w:p>
    <w:p w14:paraId="076E22BF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⑴根本原因：商品经济繁荣，资本主义萌芽出现，新兴资产阶级日益壮大。</w:t>
      </w:r>
    </w:p>
    <w:p w14:paraId="27379DCE" w14:textId="77777777" w:rsidR="00CD0D71" w:rsidRPr="00CD0D71" w:rsidRDefault="00CD0D71" w:rsidP="00CD0D71">
      <w:pPr>
        <w:ind w:left="1260" w:hangingChars="600" w:hanging="1260"/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⑵思想根源：新兴资产阶级不满教会宣扬的苦行禁欲生活，希望享受现世的快乐，要求建立以人为中心而不是以神为中心的生活哲学。</w:t>
      </w:r>
    </w:p>
    <w:p w14:paraId="1BADA5F4" w14:textId="77777777" w:rsidR="00CD0D71" w:rsidRPr="00CD0D71" w:rsidRDefault="00CD0D71" w:rsidP="00CD0D71">
      <w:pPr>
        <w:pStyle w:val="a0"/>
        <w:ind w:firstLineChars="0" w:firstLine="0"/>
        <w:rPr>
          <w:rFonts w:ascii="等线" w:eastAsia="等线" w:hAnsi="等线"/>
        </w:rPr>
      </w:pPr>
      <w:r w:rsidRPr="00CD0D71">
        <w:rPr>
          <w:rFonts w:ascii="等线" w:eastAsia="等线" w:hAnsi="等线" w:cs="宋体" w:hint="eastAsia"/>
          <w:sz w:val="21"/>
          <w:szCs w:val="21"/>
        </w:rPr>
        <w:t>(3)有利条件：意大利保留大量古希腊、罗马古典文化遗存，为思想解放提供文化素材。</w:t>
      </w:r>
    </w:p>
    <w:p w14:paraId="6FC44B5E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2.时间地点：14世纪兴起于意大利，15-16世纪向西欧传播。</w:t>
      </w:r>
    </w:p>
    <w:p w14:paraId="588C4B29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3.核心思想：人文主义（内涵：主张以人为中心，宣扬尊重人的需要、发扬人的个性）。</w:t>
      </w:r>
    </w:p>
    <w:p w14:paraId="192C4108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4.方式：采取复兴古代希腊罗马文化的方式</w:t>
      </w:r>
    </w:p>
    <w:p w14:paraId="51C7A147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5.性质：是一场资产阶级的思想解放运动。</w:t>
      </w:r>
    </w:p>
    <w:p w14:paraId="728304AB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6.代表人物和作品</w:t>
      </w:r>
      <w:r w:rsidRPr="00CD0D71">
        <w:rPr>
          <w:rFonts w:ascii="等线" w:eastAsia="等线" w:hAnsi="等线" w:hint="eastAsia"/>
        </w:rPr>
        <w:tab/>
      </w:r>
    </w:p>
    <w:tbl>
      <w:tblPr>
        <w:tblStyle w:val="af4"/>
        <w:tblW w:w="4999" w:type="pct"/>
        <w:tblLook w:val="04A0" w:firstRow="1" w:lastRow="0" w:firstColumn="1" w:lastColumn="0" w:noHBand="0" w:noVBand="1"/>
      </w:tblPr>
      <w:tblGrid>
        <w:gridCol w:w="893"/>
        <w:gridCol w:w="1661"/>
        <w:gridCol w:w="1571"/>
        <w:gridCol w:w="4169"/>
      </w:tblGrid>
      <w:tr w:rsidR="00CD0D71" w:rsidRPr="00CD0D71" w14:paraId="724FFA71" w14:textId="77777777" w:rsidTr="00CF3280">
        <w:tc>
          <w:tcPr>
            <w:tcW w:w="539" w:type="pct"/>
          </w:tcPr>
          <w:p w14:paraId="27571932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人物</w:t>
            </w:r>
          </w:p>
        </w:tc>
        <w:tc>
          <w:tcPr>
            <w:tcW w:w="1001" w:type="pct"/>
          </w:tcPr>
          <w:p w14:paraId="536E5D6B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身份/地位</w:t>
            </w:r>
          </w:p>
        </w:tc>
        <w:tc>
          <w:tcPr>
            <w:tcW w:w="946" w:type="pct"/>
          </w:tcPr>
          <w:p w14:paraId="4C02ABEF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代表作品</w:t>
            </w:r>
          </w:p>
        </w:tc>
        <w:tc>
          <w:tcPr>
            <w:tcW w:w="2511" w:type="pct"/>
          </w:tcPr>
          <w:p w14:paraId="1D8AD667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其他</w:t>
            </w:r>
          </w:p>
        </w:tc>
      </w:tr>
      <w:tr w:rsidR="00CD0D71" w:rsidRPr="00CD0D71" w14:paraId="505890AC" w14:textId="77777777" w:rsidTr="00CF3280">
        <w:tc>
          <w:tcPr>
            <w:tcW w:w="539" w:type="pct"/>
            <w:vAlign w:val="center"/>
          </w:tcPr>
          <w:p w14:paraId="0147B6C4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但丁</w:t>
            </w:r>
          </w:p>
        </w:tc>
        <w:tc>
          <w:tcPr>
            <w:tcW w:w="1001" w:type="pct"/>
            <w:vAlign w:val="center"/>
          </w:tcPr>
          <w:p w14:paraId="373B3E77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文艺复兴先驱</w:t>
            </w:r>
          </w:p>
        </w:tc>
        <w:tc>
          <w:tcPr>
            <w:tcW w:w="946" w:type="pct"/>
            <w:vAlign w:val="center"/>
          </w:tcPr>
          <w:p w14:paraId="76D83D16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长诗《神曲》</w:t>
            </w:r>
          </w:p>
        </w:tc>
        <w:tc>
          <w:tcPr>
            <w:tcW w:w="2511" w:type="pct"/>
          </w:tcPr>
          <w:p w14:paraId="60AC62D6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与彼特拉克（西方人文主义之父、《歌集》）、薄伽丘并称文艺复兴“文学三杰”。</w:t>
            </w:r>
          </w:p>
        </w:tc>
      </w:tr>
      <w:tr w:rsidR="00CD0D71" w:rsidRPr="00CD0D71" w14:paraId="2B1423FE" w14:textId="77777777" w:rsidTr="00CF3280">
        <w:tc>
          <w:tcPr>
            <w:tcW w:w="539" w:type="pct"/>
            <w:vAlign w:val="center"/>
          </w:tcPr>
          <w:p w14:paraId="70B2E3A8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达·芬奇</w:t>
            </w:r>
          </w:p>
        </w:tc>
        <w:tc>
          <w:tcPr>
            <w:tcW w:w="1001" w:type="pct"/>
            <w:vAlign w:val="center"/>
          </w:tcPr>
          <w:p w14:paraId="19D4A7AF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既是艺术家，也是科学家和工程师</w:t>
            </w:r>
          </w:p>
        </w:tc>
        <w:tc>
          <w:tcPr>
            <w:tcW w:w="946" w:type="pct"/>
            <w:vAlign w:val="center"/>
          </w:tcPr>
          <w:p w14:paraId="0E319D99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《蒙娜丽莎》《最后的晚餐》</w:t>
            </w:r>
          </w:p>
        </w:tc>
        <w:tc>
          <w:tcPr>
            <w:tcW w:w="2511" w:type="pct"/>
          </w:tcPr>
          <w:p w14:paraId="2077B2D4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与拉斐尔（《雅典学园》）、米开朗琪罗（《大卫》）并称文艺复兴“美术三杰”。</w:t>
            </w:r>
          </w:p>
        </w:tc>
      </w:tr>
      <w:tr w:rsidR="00CD0D71" w:rsidRPr="00CD0D71" w14:paraId="1FF5A5C9" w14:textId="77777777" w:rsidTr="00CF3280">
        <w:tc>
          <w:tcPr>
            <w:tcW w:w="539" w:type="pct"/>
            <w:vAlign w:val="center"/>
          </w:tcPr>
          <w:p w14:paraId="3EB58ADC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lastRenderedPageBreak/>
              <w:t>莎士比亚</w:t>
            </w:r>
          </w:p>
        </w:tc>
        <w:tc>
          <w:tcPr>
            <w:tcW w:w="1001" w:type="pct"/>
            <w:vAlign w:val="center"/>
          </w:tcPr>
          <w:p w14:paraId="559CED9E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英国文学家</w:t>
            </w:r>
          </w:p>
        </w:tc>
        <w:tc>
          <w:tcPr>
            <w:tcW w:w="946" w:type="pct"/>
            <w:vAlign w:val="center"/>
          </w:tcPr>
          <w:p w14:paraId="00549C1F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《哈姆雷特》《罗密欧与朱丽叶》</w:t>
            </w:r>
          </w:p>
        </w:tc>
        <w:tc>
          <w:tcPr>
            <w:tcW w:w="2511" w:type="pct"/>
          </w:tcPr>
          <w:p w14:paraId="48F5FCF2" w14:textId="77777777" w:rsidR="00CD0D71" w:rsidRPr="00CD0D71" w:rsidRDefault="00CD0D71" w:rsidP="00CF3280">
            <w:pPr>
              <w:rPr>
                <w:rFonts w:ascii="等线" w:eastAsia="等线" w:hAnsi="等线"/>
              </w:rPr>
            </w:pPr>
            <w:r w:rsidRPr="00CD0D71">
              <w:rPr>
                <w:rFonts w:ascii="等线" w:eastAsia="等线" w:hAnsi="等线" w:hint="eastAsia"/>
              </w:rPr>
              <w:t>批判了封建道德伦理观念和社会陋习，反映了时代风貌。</w:t>
            </w:r>
          </w:p>
        </w:tc>
      </w:tr>
    </w:tbl>
    <w:p w14:paraId="2DE5D807" w14:textId="77777777" w:rsidR="00CD0D71" w:rsidRPr="00CD0D71" w:rsidRDefault="00CD0D71" w:rsidP="00CD0D71">
      <w:pPr>
        <w:rPr>
          <w:rFonts w:ascii="等线" w:eastAsia="等线" w:hAnsi="等线"/>
        </w:rPr>
      </w:pPr>
      <w:r w:rsidRPr="00CD0D71">
        <w:rPr>
          <w:rFonts w:ascii="等线" w:eastAsia="等线" w:hAnsi="等线" w:hint="eastAsia"/>
        </w:rPr>
        <w:t>7.意义</w:t>
      </w:r>
      <w:r w:rsidRPr="00CD0D71">
        <w:rPr>
          <w:rFonts w:ascii="等线" w:eastAsia="等线" w:hAnsi="等线" w:hint="eastAsia"/>
        </w:rPr>
        <w:tab/>
      </w:r>
    </w:p>
    <w:p w14:paraId="659D4D5F" w14:textId="77777777" w:rsidR="00CD0D71" w:rsidRPr="00CD0D71" w:rsidRDefault="00CD0D71" w:rsidP="00CD0D71">
      <w:pPr>
        <w:rPr>
          <w:rFonts w:ascii="等线" w:eastAsia="等线" w:hAnsi="等线"/>
          <w:sz w:val="30"/>
          <w:szCs w:val="30"/>
        </w:rPr>
      </w:pPr>
      <w:r w:rsidRPr="00CD0D71">
        <w:rPr>
          <w:rFonts w:ascii="等线" w:eastAsia="等线" w:hAnsi="等线" w:hint="eastAsia"/>
        </w:rPr>
        <w:t>（1）是资本主义时代的曙光（2）冲击了封建神学的精神束缚，解放了人们的思想，（3）推动了欧洲文化和思想的繁荣（4）促进了资本主义的发展，对欧洲乃至世界历史产生重要影响。</w:t>
      </w:r>
    </w:p>
    <w:p w14:paraId="4C6AC328" w14:textId="77777777" w:rsidR="00CB2F66" w:rsidRPr="00CD0D71" w:rsidRDefault="00CB2F66"/>
    <w:sectPr w:rsidR="00CB2F66" w:rsidRPr="00CD0D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857B" w14:textId="77777777" w:rsidR="007C0436" w:rsidRDefault="007C0436" w:rsidP="00CD0D71">
      <w:r>
        <w:separator/>
      </w:r>
    </w:p>
  </w:endnote>
  <w:endnote w:type="continuationSeparator" w:id="0">
    <w:p w14:paraId="404BC09E" w14:textId="77777777" w:rsidR="007C0436" w:rsidRDefault="007C0436" w:rsidP="00CD0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E474" w14:textId="77777777" w:rsidR="007C0436" w:rsidRDefault="007C0436" w:rsidP="00CD0D71">
      <w:r>
        <w:separator/>
      </w:r>
    </w:p>
  </w:footnote>
  <w:footnote w:type="continuationSeparator" w:id="0">
    <w:p w14:paraId="2F9D5F37" w14:textId="77777777" w:rsidR="007C0436" w:rsidRDefault="007C0436" w:rsidP="00CD0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66"/>
    <w:rsid w:val="005265CE"/>
    <w:rsid w:val="007C0436"/>
    <w:rsid w:val="00CB2F66"/>
    <w:rsid w:val="00CD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E9A4B"/>
  <w15:chartTrackingRefBased/>
  <w15:docId w15:val="{D52B1469-D083-44F2-A196-92B024B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D0D71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F6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F6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F6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F6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F6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F6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F6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F6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F6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B2F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B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B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B2F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B2F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B2F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B2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B2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B2F6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B2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CB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B2F6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CB2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B2F6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CB2F6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B2F6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CB2F6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B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CB2F66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CB2F6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D0D71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CD0D7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D0D71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CD0D71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CD0D71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CD0D71"/>
    <w:rPr>
      <w:rFonts w:ascii="楷体" w:eastAsia="楷体" w:hAnsi="Calibri" w:cs="Times New Roman"/>
      <w:sz w:val="24"/>
      <w14:ligatures w14:val="none"/>
    </w:rPr>
  </w:style>
  <w:style w:type="table" w:styleId="af4">
    <w:name w:val="Table Grid"/>
    <w:basedOn w:val="a2"/>
    <w:qFormat/>
    <w:rsid w:val="00CD0D71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a"/>
    <w:next w:val="a"/>
    <w:autoRedefine/>
    <w:uiPriority w:val="39"/>
    <w:semiHidden/>
    <w:unhideWhenUsed/>
    <w:rsid w:val="00CD0D71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2026-09-23T11:45:00Z</dcterms:created>
  <dcterms:modified xsi:type="dcterms:W3CDTF">2026-09-23T11:47:00Z</dcterms:modified>
</cp:coreProperties>
</file>