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</w:rPr>
        <w:t>【复盘】校园号2期（9.19~11.2）</w:t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>一、数据概况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自9月19日校园号恢复上线以来，新开通校园号1112个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覆盖174所高校，校园号增量整体向上；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9.19~11.2期间，校园号</w:t>
      </w:r>
      <w:r>
        <w:rPr>
          <w:rFonts w:hint="default" w:ascii="Times New Roman" w:hAnsi="Times New Roman" w:cs="Times New Roman"/>
        </w:rPr>
        <w:t>共发布3133条动态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图文和文章比重大，阅读量注水严重，实际点赞和评论数与阅读量相比有较大的差距；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校园号共发布</w:t>
      </w:r>
      <w:r>
        <w:rPr>
          <w:rFonts w:hint="default" w:ascii="Times New Roman" w:hAnsi="Times New Roman" w:cs="Times New Roman"/>
        </w:rPr>
        <w:t>163条通知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通知的总量和已读率均有提升，已读率提升至36.3%。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校园号对话页的访问量约为主页的14倍，有必要提升内容质量，以吸引用户的关注。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数据分析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表2.1 校园号分析指标表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66"/>
        <w:gridCol w:w="2020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分析维度</w:t>
            </w:r>
          </w:p>
        </w:tc>
        <w:tc>
          <w:tcPr>
            <w:tcW w:w="206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数据指标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细分指标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拉新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校园号开通量</w:t>
            </w:r>
          </w:p>
        </w:tc>
        <w:tc>
          <w:tcPr>
            <w:tcW w:w="2066" w:type="dxa"/>
            <w:vMerge w:val="restart"/>
          </w:tcPr>
          <w:p>
            <w:pPr>
              <w:ind w:firstLine="210" w:firstLineChars="10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  <w:p>
            <w:pPr>
              <w:ind w:firstLine="210" w:firstLineChars="100"/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校园号开通增量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校园号类型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平台校园号/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校级机构号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普通机构号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社团号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企业号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所属学校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活跃：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校园号管理员对各管理功能模块的使用状况</w:t>
            </w:r>
          </w:p>
        </w:tc>
        <w:tc>
          <w:tcPr>
            <w:tcW w:w="2066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校园号发动态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内容类型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小视频/图文/文章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内容发布量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内容阅读量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内容点赞数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内容评论数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校园号发通知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通知发布量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通知已读率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校园号回复留言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回复消息量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回复频次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校园号管控台登录频次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PC端/移动端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PC端待补充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认知度：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平台用户对校园号的认知程度</w:t>
            </w:r>
          </w:p>
        </w:tc>
        <w:tc>
          <w:tcPr>
            <w:tcW w:w="2066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访问校园号主页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UV、PV、访问来源、日活占比</w:t>
            </w:r>
          </w:p>
        </w:tc>
        <w:tc>
          <w:tcPr>
            <w:tcW w:w="2697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UV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eastAsia="zh-CN"/>
              </w:rPr>
              <w:t>：访问站点的用户数；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PV：页面浏览量或点击量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访问来源：消息页/通知页/内容详情页等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日活占比：活跃用户/总用户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用户留存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留存用户/新增用户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页面内点击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  <w:t>访问校园号会话页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UV、PV、访问来源、日活占比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用户留存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页面内点击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  <w:t>关注校园号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  <w:t>用户数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739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6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  <w:t>关注来源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7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校园号内容分发情况</w:t>
            </w:r>
          </w:p>
        </w:tc>
        <w:tc>
          <w:tcPr>
            <w:tcW w:w="206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  <w:t>App各展示位内容展现量</w:t>
            </w:r>
          </w:p>
        </w:tc>
        <w:tc>
          <w:tcPr>
            <w:tcW w:w="202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</w:rPr>
              <w:t>展现位</w:t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494949"/>
                <w:spacing w:val="0"/>
                <w:sz w:val="21"/>
                <w:szCs w:val="21"/>
                <w:shd w:val="clear" w:fill="FFFFFF"/>
                <w:lang w:val="en-US" w:eastAsia="zh-CN"/>
              </w:rPr>
              <w:t>类型</w:t>
            </w:r>
          </w:p>
        </w:tc>
        <w:tc>
          <w:tcPr>
            <w:tcW w:w="269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待补充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2.1校园号开通量</w:t>
      </w:r>
    </w:p>
    <w:p>
      <w:pPr>
        <w:ind w:firstLine="420" w:firstLineChars="0"/>
        <w:rPr>
          <w:rFonts w:hint="eastAsia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9月19日</w:t>
      </w:r>
      <w:r>
        <w:rPr>
          <w:rFonts w:hint="eastAsia" w:ascii="Times New Roman" w:hAnsi="Times New Roman" w:cs="Times New Roman"/>
          <w:lang w:val="en-US" w:eastAsia="zh-CN"/>
        </w:rPr>
        <w:t>~11月2日，</w:t>
      </w:r>
      <w:r>
        <w:rPr>
          <w:rFonts w:hint="default" w:ascii="Times New Roman" w:hAnsi="Times New Roman" w:cs="Times New Roman"/>
        </w:rPr>
        <w:t>新开通校园号1112个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累计7341个</w:t>
      </w:r>
      <w:r>
        <w:rPr>
          <w:rFonts w:hint="eastAsia" w:ascii="Times New Roman" w:hAnsi="Times New Roman" w:cs="Times New Roman"/>
          <w:lang w:eastAsia="zh-CN"/>
        </w:rPr>
        <w:t>），</w:t>
      </w:r>
      <w:r>
        <w:rPr>
          <w:rFonts w:hint="eastAsia" w:ascii="Times New Roman" w:hAnsi="Times New Roman" w:cs="Times New Roman"/>
          <w:lang w:val="en-US" w:eastAsia="zh-CN"/>
        </w:rPr>
        <w:t>覆盖174所高校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按校园号类型划分，新增校园号包括</w:t>
      </w:r>
      <w:r>
        <w:rPr>
          <w:rFonts w:hint="default" w:ascii="Times New Roman" w:hAnsi="Times New Roman" w:cs="Times New Roman"/>
        </w:rPr>
        <w:t>平台校园号14个</w:t>
      </w:r>
      <w:r>
        <w:rPr>
          <w:rFonts w:hint="eastAsia" w:ascii="Times New Roman" w:hAnsi="Times New Roman" w:cs="Times New Roman"/>
          <w:lang w:val="en-US" w:eastAsia="zh-CN"/>
        </w:rPr>
        <w:t>(累计15个）</w:t>
      </w:r>
      <w:r>
        <w:rPr>
          <w:rFonts w:hint="default" w:ascii="Times New Roman" w:hAnsi="Times New Roman" w:cs="Times New Roman"/>
        </w:rPr>
        <w:t>，校级机构号43个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累计638个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，普通机构号78个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累计584个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，社团号484个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累计4170个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，企业号493个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累计1933个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按校园号所属学校划分，新增数量排在前五位的高校分别是：</w:t>
      </w:r>
      <w:r>
        <w:rPr>
          <w:rFonts w:hint="eastAsia"/>
        </w:rPr>
        <w:t>潍坊科技学院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116个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深圳信息职业技术学院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65个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宁波大学（40个），巢湖学院（38个），燕山大学（20个）。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表2.2 前十名高校校园号类型分布表</w:t>
      </w:r>
    </w:p>
    <w:tbl>
      <w:tblPr>
        <w:tblStyle w:val="3"/>
        <w:tblW w:w="82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91"/>
        <w:gridCol w:w="1553"/>
        <w:gridCol w:w="1006"/>
        <w:gridCol w:w="1482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校级机构号</w:t>
            </w:r>
          </w:p>
        </w:tc>
        <w:tc>
          <w:tcPr>
            <w:tcW w:w="1553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普通机构号</w:t>
            </w:r>
          </w:p>
        </w:tc>
        <w:tc>
          <w:tcPr>
            <w:tcW w:w="100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社团号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平台校园号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潍坊科技学院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00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深圳信息职业技术学院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宁波大学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巢湖学院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00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燕山大学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5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南京晓庄学院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0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西南大学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百家湖学院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泰山学院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河南机电职业学院</w:t>
            </w:r>
          </w:p>
        </w:tc>
        <w:tc>
          <w:tcPr>
            <w:tcW w:w="149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5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82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2.2 校园号活跃度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2.2.1 校园号发动态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内容发布量：</w:t>
      </w:r>
      <w:r>
        <w:rPr>
          <w:rFonts w:hint="default" w:ascii="Times New Roman" w:hAnsi="Times New Roman" w:cs="Times New Roman"/>
        </w:rPr>
        <w:t>共发布3133条动态，</w:t>
      </w:r>
      <w:r>
        <w:rPr>
          <w:rFonts w:hint="eastAsia" w:ascii="Times New Roman" w:hAnsi="Times New Roman" w:cs="Times New Roman"/>
          <w:lang w:val="en-US" w:eastAsia="zh-CN"/>
        </w:rPr>
        <w:t>日均72.8条；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从内容类型看，所发动态包括</w:t>
      </w:r>
      <w:r>
        <w:rPr>
          <w:rFonts w:hint="default" w:ascii="Times New Roman" w:hAnsi="Times New Roman" w:cs="Times New Roman"/>
        </w:rPr>
        <w:t>小视频104条，图文1367条，文章1572篇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占比约为1:4:5；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从校园号类型看，普通机构号发表的动态最多，为1105条；社团号其次，为423条；企业号发表的动态最少，仅58条；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11905" cy="2001520"/>
            <wp:effectExtent l="0" t="0" r="1714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275" t="9071" r="2675" b="449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图2.1 内容发布量分布饼图（按校园号类型）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从所属学校看，内容发布量前5名的高校分别是：潍坊科技学院（503条）、德州学院（224条）、东北农业大学（115条）、百家湖学院（88条）和今日嘉年华（87条）。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校园号发布的动态共获得阅读量362.41w，点赞数8.15w个，评论2.6w条；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按均值看，阅读量均值1156.7/条，点赞量均值26/条，评论数8.29/条，整体点赞量和评论数偏低；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按内容类型看，文章类获得的阅读量最多，达296.87w；图文和短视频的阅读量较少，分别为23.6w和41.7w。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表2.3 内容互动量分布表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阅读量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点赞数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296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35428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图文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23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30561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短视频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41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15423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509</w:t>
            </w:r>
          </w:p>
        </w:tc>
      </w:tr>
    </w:tbl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2.2.2 校园号发通知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校园号共发布通知163条，通知已读率约为36.3%。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2.3 校园号认知度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2.3.1 访问校园号主页、会话页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校园号访问主页的用户数（UV）为50,912，访问对话页的用户数为310,363，比率约为1：6.09，对话页的访问量更高；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校园号主页的触发次数（PV）为91.363，对话页的触发次数为1,359,151，比率约为1:14.86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220720"/>
            <wp:effectExtent l="0" t="0" r="11430" b="177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 校园号主页/对话页UV折线图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202940"/>
            <wp:effectExtent l="0" t="0" r="5715" b="165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图2.3 校园号主页/对话页PV折线图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2.3.3 关注量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校园号新增关注量共8688个，关注来源分为校园号主页、文章详情页、视频详情页和话题详情页四类。其中，来自校园号主页的关注量最多，有7683个，占总关注量的88.4%。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3710940"/>
            <wp:effectExtent l="0" t="0" r="8890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总结建议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3.1 开发侧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 应适当增加校园号的数据埋点，以统计校园号会话页、主页的页面内的点击数与跟踪访问来源；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 应增加平台运营管控台导出统计数据的功能，能根据所选择的时间段导出相应的数据，以方便后续的统计分析；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3.2 产品侧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 关注通知发布与留言回复等功能的持续迭代，提升产品易用性与用户满意度；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2. 优化内容显示和分发机制，凸显校园号发布内容的权威性与特殊性；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3. 优化短视频的设计，使该功能更简单易用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3.3 运营侧</w:t>
      </w: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 对于企业号，与企业号用户建立联系，鼓励其使用校园号做活动或公司文化宣传，提升企业号的使用率；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2. 对于社团号与校内机构号，加强用户对校园号的认知度，鼓励用户与校园号互动。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E8FCE"/>
    <w:multiLevelType w:val="singleLevel"/>
    <w:tmpl w:val="9A9E8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856922"/>
    <w:multiLevelType w:val="singleLevel"/>
    <w:tmpl w:val="C585692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448B2B"/>
    <w:multiLevelType w:val="singleLevel"/>
    <w:tmpl w:val="F1448B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23DC52F"/>
    <w:multiLevelType w:val="singleLevel"/>
    <w:tmpl w:val="023DC5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5B47C9"/>
    <w:multiLevelType w:val="singleLevel"/>
    <w:tmpl w:val="365B47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911A6"/>
    <w:rsid w:val="00392DC2"/>
    <w:rsid w:val="004140FE"/>
    <w:rsid w:val="009A411F"/>
    <w:rsid w:val="037775B8"/>
    <w:rsid w:val="03782A7E"/>
    <w:rsid w:val="03BE48A2"/>
    <w:rsid w:val="03CC22A8"/>
    <w:rsid w:val="053E4C70"/>
    <w:rsid w:val="083B2621"/>
    <w:rsid w:val="086F6F2E"/>
    <w:rsid w:val="0D877F18"/>
    <w:rsid w:val="0FD05371"/>
    <w:rsid w:val="12100BDD"/>
    <w:rsid w:val="12496CAE"/>
    <w:rsid w:val="14403114"/>
    <w:rsid w:val="17A90B0E"/>
    <w:rsid w:val="17CF11BA"/>
    <w:rsid w:val="18FC21FD"/>
    <w:rsid w:val="1C0020E0"/>
    <w:rsid w:val="1D4B1D04"/>
    <w:rsid w:val="1D903604"/>
    <w:rsid w:val="1E1863AF"/>
    <w:rsid w:val="1EEC56B0"/>
    <w:rsid w:val="1EFD4254"/>
    <w:rsid w:val="1F3A4BDA"/>
    <w:rsid w:val="20A1015E"/>
    <w:rsid w:val="22640675"/>
    <w:rsid w:val="23B5295F"/>
    <w:rsid w:val="25E010E6"/>
    <w:rsid w:val="29871A9A"/>
    <w:rsid w:val="2A124758"/>
    <w:rsid w:val="2A41268E"/>
    <w:rsid w:val="2A9672DC"/>
    <w:rsid w:val="2B3B00A3"/>
    <w:rsid w:val="2C2106F9"/>
    <w:rsid w:val="2C896C05"/>
    <w:rsid w:val="2DE166F9"/>
    <w:rsid w:val="30732897"/>
    <w:rsid w:val="308D0B8B"/>
    <w:rsid w:val="30C36340"/>
    <w:rsid w:val="30EA2A48"/>
    <w:rsid w:val="31466AD7"/>
    <w:rsid w:val="33654FE0"/>
    <w:rsid w:val="33B9521F"/>
    <w:rsid w:val="33C07393"/>
    <w:rsid w:val="34DF2A97"/>
    <w:rsid w:val="361B2E76"/>
    <w:rsid w:val="388D7495"/>
    <w:rsid w:val="3A321FCD"/>
    <w:rsid w:val="3AF13076"/>
    <w:rsid w:val="3AFC5D1E"/>
    <w:rsid w:val="3B002072"/>
    <w:rsid w:val="3F1645DD"/>
    <w:rsid w:val="402C0897"/>
    <w:rsid w:val="41E246E3"/>
    <w:rsid w:val="424A7CF5"/>
    <w:rsid w:val="459C66EF"/>
    <w:rsid w:val="45E80FD4"/>
    <w:rsid w:val="462B4B88"/>
    <w:rsid w:val="46B7247D"/>
    <w:rsid w:val="490049D6"/>
    <w:rsid w:val="4A846B2D"/>
    <w:rsid w:val="4AD81AD3"/>
    <w:rsid w:val="4B2025A8"/>
    <w:rsid w:val="4B891D2C"/>
    <w:rsid w:val="4BB65B1E"/>
    <w:rsid w:val="4BDD088A"/>
    <w:rsid w:val="4C6F04FB"/>
    <w:rsid w:val="4D496D40"/>
    <w:rsid w:val="4E720928"/>
    <w:rsid w:val="4FA97F24"/>
    <w:rsid w:val="5088093F"/>
    <w:rsid w:val="510F56F8"/>
    <w:rsid w:val="526E252D"/>
    <w:rsid w:val="54527752"/>
    <w:rsid w:val="545D6C8B"/>
    <w:rsid w:val="557F2D4C"/>
    <w:rsid w:val="55FD6DA8"/>
    <w:rsid w:val="567D17B6"/>
    <w:rsid w:val="572738CF"/>
    <w:rsid w:val="57F6418A"/>
    <w:rsid w:val="58087F1E"/>
    <w:rsid w:val="58813A7E"/>
    <w:rsid w:val="58A630BB"/>
    <w:rsid w:val="58AF39C6"/>
    <w:rsid w:val="5DDF2763"/>
    <w:rsid w:val="5EC22928"/>
    <w:rsid w:val="64C11835"/>
    <w:rsid w:val="6524007E"/>
    <w:rsid w:val="655663FE"/>
    <w:rsid w:val="66F60781"/>
    <w:rsid w:val="674C20A2"/>
    <w:rsid w:val="68901D7B"/>
    <w:rsid w:val="68BF7340"/>
    <w:rsid w:val="6AAA2756"/>
    <w:rsid w:val="6AAC7515"/>
    <w:rsid w:val="6B166769"/>
    <w:rsid w:val="6B327712"/>
    <w:rsid w:val="6BE25883"/>
    <w:rsid w:val="7056108B"/>
    <w:rsid w:val="70AC1014"/>
    <w:rsid w:val="71165EBA"/>
    <w:rsid w:val="724515F4"/>
    <w:rsid w:val="729D641B"/>
    <w:rsid w:val="731469A6"/>
    <w:rsid w:val="746A194F"/>
    <w:rsid w:val="75C55114"/>
    <w:rsid w:val="76F911A6"/>
    <w:rsid w:val="77855351"/>
    <w:rsid w:val="77A678C8"/>
    <w:rsid w:val="784F00E1"/>
    <w:rsid w:val="793612C6"/>
    <w:rsid w:val="7A7662C6"/>
    <w:rsid w:val="7B100D07"/>
    <w:rsid w:val="7CCC014A"/>
    <w:rsid w:val="7CF87231"/>
    <w:rsid w:val="7E5F3CFA"/>
    <w:rsid w:val="7E61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2020-11-03T03:16:00Z</dcterms:created>
  <dc:creator>Esther</dc:creator>
  <cp:lastModifiedBy>Esther</cp:lastModifiedBy>
  <dcterms:modified xsi:type="dcterms:W3CDTF">2020-11-04T08:45:15Z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