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69AD3" w14:textId="77777777" w:rsidR="0016380F" w:rsidRDefault="0016380F" w:rsidP="0016380F">
      <w:pPr>
        <w:spacing w:line="480" w:lineRule="auto"/>
        <w:jc w:val="center"/>
        <w:rPr>
          <w:rFonts w:ascii="Times New Roman" w:hAnsi="Times New Roman" w:cs="Times New Roman"/>
          <w:b/>
          <w:bCs/>
        </w:rPr>
      </w:pPr>
    </w:p>
    <w:p w14:paraId="139AC473" w14:textId="77777777" w:rsidR="0016380F" w:rsidRDefault="0016380F" w:rsidP="0016380F">
      <w:pPr>
        <w:spacing w:line="480" w:lineRule="auto"/>
        <w:jc w:val="center"/>
        <w:rPr>
          <w:rFonts w:ascii="Times New Roman" w:hAnsi="Times New Roman" w:cs="Times New Roman"/>
          <w:b/>
          <w:bCs/>
        </w:rPr>
      </w:pPr>
    </w:p>
    <w:p w14:paraId="4C3D688A" w14:textId="77777777" w:rsidR="0016380F" w:rsidRDefault="0016380F" w:rsidP="0016380F">
      <w:pPr>
        <w:spacing w:line="480" w:lineRule="auto"/>
        <w:jc w:val="center"/>
        <w:rPr>
          <w:rFonts w:ascii="Times New Roman" w:hAnsi="Times New Roman" w:cs="Times New Roman"/>
          <w:b/>
          <w:bCs/>
        </w:rPr>
      </w:pPr>
    </w:p>
    <w:p w14:paraId="3C06C282" w14:textId="77777777" w:rsidR="0016380F" w:rsidRDefault="0016380F" w:rsidP="0016380F">
      <w:pPr>
        <w:spacing w:line="480" w:lineRule="auto"/>
        <w:jc w:val="center"/>
        <w:rPr>
          <w:rFonts w:ascii="Times New Roman" w:hAnsi="Times New Roman" w:cs="Times New Roman"/>
          <w:b/>
          <w:bCs/>
        </w:rPr>
      </w:pPr>
    </w:p>
    <w:p w14:paraId="1C373068" w14:textId="77777777" w:rsidR="0016380F" w:rsidRDefault="0016380F" w:rsidP="0016380F">
      <w:pPr>
        <w:spacing w:line="480" w:lineRule="auto"/>
        <w:jc w:val="center"/>
        <w:rPr>
          <w:rFonts w:ascii="Times New Roman" w:hAnsi="Times New Roman" w:cs="Times New Roman"/>
          <w:b/>
          <w:bCs/>
        </w:rPr>
      </w:pPr>
    </w:p>
    <w:p w14:paraId="5E1D1D75" w14:textId="77777777" w:rsidR="0016380F" w:rsidRDefault="0016380F" w:rsidP="0016380F">
      <w:pPr>
        <w:spacing w:line="480" w:lineRule="auto"/>
        <w:jc w:val="center"/>
        <w:rPr>
          <w:rFonts w:ascii="Times New Roman" w:hAnsi="Times New Roman" w:cs="Times New Roman"/>
          <w:b/>
          <w:bCs/>
        </w:rPr>
      </w:pPr>
    </w:p>
    <w:p w14:paraId="7E225E91" w14:textId="77777777" w:rsidR="0016380F" w:rsidRDefault="0016380F" w:rsidP="0016380F">
      <w:pPr>
        <w:spacing w:line="480" w:lineRule="auto"/>
        <w:jc w:val="center"/>
        <w:rPr>
          <w:rFonts w:ascii="Times New Roman" w:hAnsi="Times New Roman" w:cs="Times New Roman"/>
          <w:b/>
          <w:bCs/>
        </w:rPr>
      </w:pPr>
    </w:p>
    <w:p w14:paraId="2A5697A4" w14:textId="77777777" w:rsidR="0016380F" w:rsidRDefault="0016380F" w:rsidP="0016380F">
      <w:pPr>
        <w:spacing w:line="480" w:lineRule="auto"/>
        <w:jc w:val="center"/>
        <w:rPr>
          <w:rFonts w:ascii="Times New Roman" w:hAnsi="Times New Roman" w:cs="Times New Roman"/>
          <w:b/>
          <w:bCs/>
        </w:rPr>
      </w:pPr>
    </w:p>
    <w:p w14:paraId="798496F3" w14:textId="77777777" w:rsidR="0016380F" w:rsidRDefault="0016380F" w:rsidP="0016380F">
      <w:pPr>
        <w:spacing w:line="480" w:lineRule="auto"/>
        <w:jc w:val="center"/>
        <w:rPr>
          <w:rFonts w:ascii="Times New Roman" w:hAnsi="Times New Roman" w:cs="Times New Roman"/>
          <w:b/>
          <w:bCs/>
        </w:rPr>
      </w:pPr>
      <w:r w:rsidRPr="00D16512">
        <w:rPr>
          <w:rFonts w:ascii="Times New Roman" w:hAnsi="Times New Roman" w:cs="Times New Roman"/>
          <w:b/>
          <w:bCs/>
        </w:rPr>
        <w:t>Community Pasta R Us</w:t>
      </w:r>
      <w:r>
        <w:rPr>
          <w:rFonts w:ascii="Times New Roman" w:hAnsi="Times New Roman" w:cs="Times New Roman"/>
          <w:b/>
          <w:bCs/>
        </w:rPr>
        <w:t xml:space="preserve"> Inc. Analysis Report </w:t>
      </w:r>
    </w:p>
    <w:p w14:paraId="56980DDE" w14:textId="77777777" w:rsidR="0016380F" w:rsidRDefault="0016380F" w:rsidP="0016380F">
      <w:pPr>
        <w:spacing w:line="480" w:lineRule="auto"/>
        <w:jc w:val="center"/>
        <w:rPr>
          <w:rFonts w:ascii="Times New Roman" w:hAnsi="Times New Roman" w:cs="Times New Roman"/>
          <w:b/>
          <w:bCs/>
        </w:rPr>
      </w:pPr>
    </w:p>
    <w:p w14:paraId="08EB59BF" w14:textId="5B20B85E" w:rsidR="0016380F" w:rsidRPr="0016380F" w:rsidRDefault="0016380F" w:rsidP="0016380F">
      <w:pPr>
        <w:spacing w:line="480" w:lineRule="auto"/>
        <w:jc w:val="center"/>
        <w:rPr>
          <w:rFonts w:ascii="Times New Roman" w:hAnsi="Times New Roman" w:cs="Times New Roman"/>
        </w:rPr>
      </w:pPr>
      <w:r w:rsidRPr="0016380F">
        <w:rPr>
          <w:rFonts w:ascii="Times New Roman" w:hAnsi="Times New Roman" w:cs="Times New Roman"/>
        </w:rPr>
        <w:t xml:space="preserve">Student’s Name </w:t>
      </w:r>
    </w:p>
    <w:p w14:paraId="713A385A" w14:textId="2D24C1FB" w:rsidR="0016380F" w:rsidRPr="0016380F" w:rsidRDefault="0016380F" w:rsidP="0016380F">
      <w:pPr>
        <w:spacing w:line="480" w:lineRule="auto"/>
        <w:jc w:val="center"/>
        <w:rPr>
          <w:rFonts w:ascii="Times New Roman" w:hAnsi="Times New Roman" w:cs="Times New Roman"/>
        </w:rPr>
      </w:pPr>
      <w:r w:rsidRPr="0016380F">
        <w:rPr>
          <w:rFonts w:ascii="Times New Roman" w:hAnsi="Times New Roman" w:cs="Times New Roman"/>
        </w:rPr>
        <w:t xml:space="preserve">Institution Name </w:t>
      </w:r>
    </w:p>
    <w:p w14:paraId="0880343E" w14:textId="5F84B5CF" w:rsidR="0016380F" w:rsidRPr="0016380F" w:rsidRDefault="0016380F" w:rsidP="0016380F">
      <w:pPr>
        <w:spacing w:line="480" w:lineRule="auto"/>
        <w:jc w:val="center"/>
        <w:rPr>
          <w:rFonts w:ascii="Times New Roman" w:hAnsi="Times New Roman" w:cs="Times New Roman"/>
        </w:rPr>
      </w:pPr>
      <w:r w:rsidRPr="0016380F">
        <w:rPr>
          <w:rFonts w:ascii="Times New Roman" w:hAnsi="Times New Roman" w:cs="Times New Roman"/>
        </w:rPr>
        <w:t xml:space="preserve">Assignment Due Date </w:t>
      </w:r>
    </w:p>
    <w:p w14:paraId="027AFF55" w14:textId="77777777" w:rsidR="0016380F" w:rsidRDefault="0016380F" w:rsidP="0016380F">
      <w:pPr>
        <w:spacing w:line="480" w:lineRule="auto"/>
        <w:jc w:val="center"/>
        <w:rPr>
          <w:rFonts w:ascii="Times New Roman" w:hAnsi="Times New Roman" w:cs="Times New Roman"/>
          <w:b/>
          <w:bCs/>
        </w:rPr>
      </w:pPr>
    </w:p>
    <w:p w14:paraId="3C20C37B" w14:textId="77777777" w:rsidR="0016380F" w:rsidRDefault="0016380F" w:rsidP="0016380F">
      <w:pPr>
        <w:spacing w:line="480" w:lineRule="auto"/>
        <w:jc w:val="center"/>
        <w:rPr>
          <w:rFonts w:ascii="Times New Roman" w:hAnsi="Times New Roman" w:cs="Times New Roman"/>
          <w:b/>
          <w:bCs/>
        </w:rPr>
      </w:pPr>
    </w:p>
    <w:p w14:paraId="7AE4401C" w14:textId="77777777" w:rsidR="0016380F" w:rsidRDefault="0016380F" w:rsidP="0016380F">
      <w:pPr>
        <w:spacing w:line="480" w:lineRule="auto"/>
        <w:jc w:val="center"/>
        <w:rPr>
          <w:rFonts w:ascii="Times New Roman" w:hAnsi="Times New Roman" w:cs="Times New Roman"/>
          <w:b/>
          <w:bCs/>
        </w:rPr>
      </w:pPr>
    </w:p>
    <w:p w14:paraId="3DA1659B" w14:textId="77777777" w:rsidR="0016380F" w:rsidRDefault="0016380F" w:rsidP="0016380F">
      <w:pPr>
        <w:spacing w:line="480" w:lineRule="auto"/>
        <w:jc w:val="center"/>
        <w:rPr>
          <w:rFonts w:ascii="Times New Roman" w:hAnsi="Times New Roman" w:cs="Times New Roman"/>
          <w:b/>
          <w:bCs/>
        </w:rPr>
      </w:pPr>
    </w:p>
    <w:p w14:paraId="452A49C3" w14:textId="77777777" w:rsidR="0016380F" w:rsidRDefault="0016380F" w:rsidP="0016380F">
      <w:pPr>
        <w:spacing w:line="480" w:lineRule="auto"/>
        <w:jc w:val="center"/>
        <w:rPr>
          <w:rFonts w:ascii="Times New Roman" w:hAnsi="Times New Roman" w:cs="Times New Roman"/>
          <w:b/>
          <w:bCs/>
        </w:rPr>
      </w:pPr>
    </w:p>
    <w:p w14:paraId="0A215F35" w14:textId="2258D684" w:rsidR="00D16512" w:rsidRDefault="00D16512" w:rsidP="0016380F">
      <w:pPr>
        <w:spacing w:line="480" w:lineRule="auto"/>
        <w:jc w:val="center"/>
        <w:rPr>
          <w:rFonts w:ascii="Times New Roman" w:hAnsi="Times New Roman" w:cs="Times New Roman"/>
          <w:b/>
          <w:bCs/>
        </w:rPr>
      </w:pPr>
      <w:r w:rsidRPr="00D16512">
        <w:rPr>
          <w:rFonts w:ascii="Times New Roman" w:hAnsi="Times New Roman" w:cs="Times New Roman"/>
          <w:b/>
          <w:bCs/>
        </w:rPr>
        <w:lastRenderedPageBreak/>
        <w:t>Community Pasta R Us</w:t>
      </w:r>
      <w:r w:rsidR="00D1791C">
        <w:rPr>
          <w:rFonts w:ascii="Times New Roman" w:hAnsi="Times New Roman" w:cs="Times New Roman"/>
          <w:b/>
          <w:bCs/>
        </w:rPr>
        <w:t xml:space="preserve"> Inc.</w:t>
      </w:r>
      <w:r>
        <w:rPr>
          <w:rFonts w:ascii="Times New Roman" w:hAnsi="Times New Roman" w:cs="Times New Roman"/>
          <w:b/>
          <w:bCs/>
        </w:rPr>
        <w:t xml:space="preserve"> Analysis Report </w:t>
      </w:r>
    </w:p>
    <w:p w14:paraId="35F3E54B" w14:textId="07EF8080" w:rsidR="00637188" w:rsidRPr="00D16512" w:rsidRDefault="00637188" w:rsidP="0016380F">
      <w:pPr>
        <w:spacing w:line="480" w:lineRule="auto"/>
        <w:rPr>
          <w:rFonts w:ascii="Times New Roman" w:hAnsi="Times New Roman" w:cs="Times New Roman"/>
          <w:b/>
          <w:bCs/>
        </w:rPr>
      </w:pPr>
      <w:r w:rsidRPr="00D16512">
        <w:rPr>
          <w:rFonts w:ascii="Times New Roman" w:hAnsi="Times New Roman" w:cs="Times New Roman"/>
          <w:b/>
          <w:bCs/>
        </w:rPr>
        <w:t xml:space="preserve">Section 1 </w:t>
      </w:r>
    </w:p>
    <w:p w14:paraId="5D2BA19F" w14:textId="49825507" w:rsidR="008C7454" w:rsidRPr="00D16512" w:rsidRDefault="00C04B19" w:rsidP="0016380F">
      <w:pPr>
        <w:spacing w:line="480" w:lineRule="auto"/>
        <w:jc w:val="center"/>
        <w:rPr>
          <w:rFonts w:ascii="Times New Roman" w:hAnsi="Times New Roman" w:cs="Times New Roman"/>
          <w:b/>
          <w:bCs/>
        </w:rPr>
      </w:pPr>
      <w:r w:rsidRPr="00D16512">
        <w:rPr>
          <w:rFonts w:ascii="Times New Roman" w:hAnsi="Times New Roman" w:cs="Times New Roman"/>
          <w:b/>
          <w:bCs/>
        </w:rPr>
        <w:t>Objectives of the Report</w:t>
      </w:r>
    </w:p>
    <w:p w14:paraId="5E05596D" w14:textId="1E178C74" w:rsidR="00C04B19" w:rsidRPr="00D16512" w:rsidRDefault="00C04B19" w:rsidP="0016380F">
      <w:pPr>
        <w:spacing w:line="480" w:lineRule="auto"/>
        <w:ind w:firstLine="720"/>
        <w:rPr>
          <w:rFonts w:ascii="Times New Roman" w:hAnsi="Times New Roman" w:cs="Times New Roman"/>
        </w:rPr>
      </w:pPr>
      <w:r w:rsidRPr="00D16512">
        <w:rPr>
          <w:rFonts w:ascii="Times New Roman" w:hAnsi="Times New Roman" w:cs="Times New Roman"/>
        </w:rPr>
        <w:t xml:space="preserve">The objective of this report is to analyze the financial and operational performance of </w:t>
      </w:r>
      <w:r w:rsidRPr="00D16512">
        <w:rPr>
          <w:rFonts w:ascii="Times New Roman" w:hAnsi="Times New Roman" w:cs="Times New Roman"/>
        </w:rPr>
        <w:t>Pastas R Us, Inc.</w:t>
      </w:r>
      <w:r w:rsidRPr="00D16512">
        <w:rPr>
          <w:rFonts w:ascii="Times New Roman" w:hAnsi="Times New Roman" w:cs="Times New Roman"/>
        </w:rPr>
        <w:t>,</w:t>
      </w:r>
      <w:r w:rsidRPr="00D16512">
        <w:rPr>
          <w:rFonts w:ascii="Times New Roman" w:hAnsi="Times New Roman" w:cs="Times New Roman"/>
        </w:rPr>
        <w:t xml:space="preserve"> a fast-casual restaurant chain specializing in noodle-based dishes, soups, and salads.</w:t>
      </w:r>
      <w:r w:rsidR="00AE55B6" w:rsidRPr="00D16512">
        <w:rPr>
          <w:rFonts w:ascii="Times New Roman" w:hAnsi="Times New Roman" w:cs="Times New Roman"/>
        </w:rPr>
        <w:t xml:space="preserve"> Insights from the performance of the company will reveal whether the current expansion criteria can be improved or not. The report further analyzes the </w:t>
      </w:r>
      <w:r w:rsidR="00AE55B6" w:rsidRPr="00D16512">
        <w:rPr>
          <w:rFonts w:ascii="Times New Roman" w:hAnsi="Times New Roman" w:cs="Times New Roman"/>
        </w:rPr>
        <w:t xml:space="preserve">effectiveness of the loyalty card marketing strategy and </w:t>
      </w:r>
      <w:r w:rsidR="00AE55B6" w:rsidRPr="00D16512">
        <w:rPr>
          <w:rFonts w:ascii="Times New Roman" w:hAnsi="Times New Roman" w:cs="Times New Roman"/>
        </w:rPr>
        <w:t>identifies</w:t>
      </w:r>
      <w:r w:rsidR="00AE55B6" w:rsidRPr="00D16512">
        <w:rPr>
          <w:rFonts w:ascii="Times New Roman" w:hAnsi="Times New Roman" w:cs="Times New Roman"/>
        </w:rPr>
        <w:t xml:space="preserve"> feasible, actionable opportunities for improvement.</w:t>
      </w:r>
    </w:p>
    <w:p w14:paraId="3966D721" w14:textId="2804C057" w:rsidR="00AE55B6" w:rsidRPr="00D16512" w:rsidRDefault="00AE55B6" w:rsidP="0016380F">
      <w:pPr>
        <w:spacing w:line="480" w:lineRule="auto"/>
        <w:jc w:val="center"/>
        <w:rPr>
          <w:rFonts w:ascii="Times New Roman" w:hAnsi="Times New Roman" w:cs="Times New Roman"/>
          <w:b/>
          <w:bCs/>
        </w:rPr>
      </w:pPr>
      <w:r w:rsidRPr="00D16512">
        <w:rPr>
          <w:rFonts w:ascii="Times New Roman" w:hAnsi="Times New Roman" w:cs="Times New Roman"/>
          <w:b/>
          <w:bCs/>
        </w:rPr>
        <w:t>Variables of Interest</w:t>
      </w:r>
    </w:p>
    <w:p w14:paraId="79B0EDEA" w14:textId="0B0D3138" w:rsidR="00AE55B6" w:rsidRPr="00D16512" w:rsidRDefault="00AE55B6" w:rsidP="0016380F">
      <w:pPr>
        <w:spacing w:line="480" w:lineRule="auto"/>
        <w:ind w:firstLine="720"/>
        <w:rPr>
          <w:rFonts w:ascii="Times New Roman" w:hAnsi="Times New Roman" w:cs="Times New Roman"/>
        </w:rPr>
      </w:pPr>
      <w:r w:rsidRPr="00D16512">
        <w:rPr>
          <w:rFonts w:ascii="Times New Roman" w:hAnsi="Times New Roman" w:cs="Times New Roman"/>
        </w:rPr>
        <w:t xml:space="preserve">The variables of interest in this analysis are </w:t>
      </w:r>
      <w:r w:rsidR="0067436F" w:rsidRPr="00D16512">
        <w:rPr>
          <w:rFonts w:ascii="Times New Roman" w:hAnsi="Times New Roman" w:cs="Times New Roman"/>
        </w:rPr>
        <w:t xml:space="preserve">square feet, annual sales, sales per square feet, per person's average spending, loyalty card sales, sales growth over the previous year, median income, median age, and percentage of adults with bachelor's degrees. </w:t>
      </w:r>
    </w:p>
    <w:p w14:paraId="2A5EB4A8" w14:textId="4EB23510" w:rsidR="0067436F" w:rsidRPr="00D16512" w:rsidRDefault="0067436F" w:rsidP="0016380F">
      <w:pPr>
        <w:spacing w:line="480" w:lineRule="auto"/>
        <w:jc w:val="center"/>
        <w:rPr>
          <w:rFonts w:ascii="Times New Roman" w:hAnsi="Times New Roman" w:cs="Times New Roman"/>
          <w:b/>
          <w:bCs/>
        </w:rPr>
      </w:pPr>
      <w:r w:rsidRPr="00D16512">
        <w:rPr>
          <w:rFonts w:ascii="Times New Roman" w:hAnsi="Times New Roman" w:cs="Times New Roman"/>
          <w:b/>
          <w:bCs/>
        </w:rPr>
        <w:t>Summary of the Descriptive Findings</w:t>
      </w:r>
    </w:p>
    <w:p w14:paraId="0BDE1A17" w14:textId="437944FF" w:rsidR="0067436F" w:rsidRPr="00D16512" w:rsidRDefault="0067436F" w:rsidP="0016380F">
      <w:pPr>
        <w:spacing w:line="480" w:lineRule="auto"/>
        <w:rPr>
          <w:rFonts w:ascii="Times New Roman" w:hAnsi="Times New Roman" w:cs="Times New Roman"/>
        </w:rPr>
      </w:pPr>
      <w:r w:rsidRPr="00D16512">
        <w:rPr>
          <w:rFonts w:ascii="Times New Roman" w:hAnsi="Times New Roman" w:cs="Times New Roman"/>
        </w:rPr>
        <w:tab/>
        <w:t>The table below shows a summary of descriptive findings of the variables in the dataset.</w:t>
      </w:r>
    </w:p>
    <w:tbl>
      <w:tblPr>
        <w:tblStyle w:val="PlainTable1"/>
        <w:tblW w:w="0" w:type="auto"/>
        <w:tblLook w:val="04A0" w:firstRow="1" w:lastRow="0" w:firstColumn="1" w:lastColumn="0" w:noHBand="0" w:noVBand="1"/>
      </w:tblPr>
      <w:tblGrid>
        <w:gridCol w:w="623"/>
        <w:gridCol w:w="757"/>
        <w:gridCol w:w="707"/>
        <w:gridCol w:w="1130"/>
        <w:gridCol w:w="1299"/>
        <w:gridCol w:w="920"/>
        <w:gridCol w:w="1068"/>
        <w:gridCol w:w="818"/>
        <w:gridCol w:w="1021"/>
        <w:gridCol w:w="1007"/>
      </w:tblGrid>
      <w:tr w:rsidR="00E423E5" w:rsidRPr="00D16512" w14:paraId="648AB6D0" w14:textId="77777777" w:rsidTr="00C0481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3" w:type="dxa"/>
            <w:noWrap/>
            <w:hideMark/>
          </w:tcPr>
          <w:p w14:paraId="7E649FC9"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t> </w:t>
            </w:r>
          </w:p>
        </w:tc>
        <w:tc>
          <w:tcPr>
            <w:tcW w:w="757" w:type="dxa"/>
            <w:noWrap/>
            <w:hideMark/>
          </w:tcPr>
          <w:p w14:paraId="7552ED88"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16512">
              <w:rPr>
                <w:rFonts w:ascii="Times New Roman" w:hAnsi="Times New Roman" w:cs="Times New Roman"/>
              </w:rPr>
              <w:t>SqFt</w:t>
            </w:r>
            <w:proofErr w:type="spellEnd"/>
          </w:p>
        </w:tc>
        <w:tc>
          <w:tcPr>
            <w:tcW w:w="707" w:type="dxa"/>
            <w:noWrap/>
            <w:hideMark/>
          </w:tcPr>
          <w:p w14:paraId="096F8301"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Sales/ Person</w:t>
            </w:r>
          </w:p>
        </w:tc>
        <w:tc>
          <w:tcPr>
            <w:tcW w:w="1130" w:type="dxa"/>
            <w:noWrap/>
            <w:hideMark/>
          </w:tcPr>
          <w:p w14:paraId="160175F0"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16512">
              <w:rPr>
                <w:rFonts w:ascii="Times New Roman" w:hAnsi="Times New Roman" w:cs="Times New Roman"/>
              </w:rPr>
              <w:t>SalesGrowth</w:t>
            </w:r>
            <w:proofErr w:type="spellEnd"/>
            <w:r w:rsidRPr="00D16512">
              <w:rPr>
                <w:rFonts w:ascii="Times New Roman" w:hAnsi="Times New Roman" w:cs="Times New Roman"/>
              </w:rPr>
              <w:t xml:space="preserve"> %</w:t>
            </w:r>
          </w:p>
        </w:tc>
        <w:tc>
          <w:tcPr>
            <w:tcW w:w="1299" w:type="dxa"/>
            <w:noWrap/>
            <w:hideMark/>
          </w:tcPr>
          <w:p w14:paraId="511630FC"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16512">
              <w:rPr>
                <w:rFonts w:ascii="Times New Roman" w:hAnsi="Times New Roman" w:cs="Times New Roman"/>
              </w:rPr>
              <w:t>LoyaltyCard</w:t>
            </w:r>
            <w:proofErr w:type="spellEnd"/>
            <w:r w:rsidRPr="00D16512">
              <w:rPr>
                <w:rFonts w:ascii="Times New Roman" w:hAnsi="Times New Roman" w:cs="Times New Roman"/>
              </w:rPr>
              <w:t>%</w:t>
            </w:r>
          </w:p>
        </w:tc>
        <w:tc>
          <w:tcPr>
            <w:tcW w:w="920" w:type="dxa"/>
            <w:noWrap/>
            <w:hideMark/>
          </w:tcPr>
          <w:p w14:paraId="5B62013F"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Sales/</w:t>
            </w:r>
            <w:proofErr w:type="spellStart"/>
            <w:r w:rsidRPr="00D16512">
              <w:rPr>
                <w:rFonts w:ascii="Times New Roman" w:hAnsi="Times New Roman" w:cs="Times New Roman"/>
              </w:rPr>
              <w:t>Sqft</w:t>
            </w:r>
            <w:proofErr w:type="spellEnd"/>
          </w:p>
        </w:tc>
        <w:tc>
          <w:tcPr>
            <w:tcW w:w="1068" w:type="dxa"/>
            <w:noWrap/>
            <w:hideMark/>
          </w:tcPr>
          <w:p w14:paraId="59D6B596"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MedIncome</w:t>
            </w:r>
          </w:p>
        </w:tc>
        <w:tc>
          <w:tcPr>
            <w:tcW w:w="818" w:type="dxa"/>
            <w:noWrap/>
            <w:hideMark/>
          </w:tcPr>
          <w:p w14:paraId="1D012452"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16512">
              <w:rPr>
                <w:rFonts w:ascii="Times New Roman" w:hAnsi="Times New Roman" w:cs="Times New Roman"/>
              </w:rPr>
              <w:t>MedAge</w:t>
            </w:r>
            <w:proofErr w:type="spellEnd"/>
          </w:p>
        </w:tc>
        <w:tc>
          <w:tcPr>
            <w:tcW w:w="953" w:type="dxa"/>
            <w:noWrap/>
            <w:hideMark/>
          </w:tcPr>
          <w:p w14:paraId="4FDB15AF"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16512">
              <w:rPr>
                <w:rFonts w:ascii="Times New Roman" w:hAnsi="Times New Roman" w:cs="Times New Roman"/>
              </w:rPr>
              <w:t>BachDeg</w:t>
            </w:r>
            <w:proofErr w:type="spellEnd"/>
            <w:r w:rsidRPr="00D16512">
              <w:rPr>
                <w:rFonts w:ascii="Times New Roman" w:hAnsi="Times New Roman" w:cs="Times New Roman"/>
              </w:rPr>
              <w:t>%</w:t>
            </w:r>
          </w:p>
        </w:tc>
        <w:tc>
          <w:tcPr>
            <w:tcW w:w="1075" w:type="dxa"/>
            <w:noWrap/>
            <w:hideMark/>
          </w:tcPr>
          <w:p w14:paraId="22DBC7BF" w14:textId="77777777" w:rsidR="00E423E5" w:rsidRPr="00D16512" w:rsidRDefault="00E423E5" w:rsidP="0016380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Annual Sales</w:t>
            </w:r>
          </w:p>
        </w:tc>
      </w:tr>
      <w:tr w:rsidR="00E423E5" w:rsidRPr="00D16512" w14:paraId="0DA384DA" w14:textId="77777777" w:rsidTr="00C0481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3" w:type="dxa"/>
            <w:noWrap/>
            <w:hideMark/>
          </w:tcPr>
          <w:p w14:paraId="38942DE4"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t xml:space="preserve">Mean </w:t>
            </w:r>
          </w:p>
        </w:tc>
        <w:tc>
          <w:tcPr>
            <w:tcW w:w="757" w:type="dxa"/>
            <w:noWrap/>
            <w:hideMark/>
          </w:tcPr>
          <w:p w14:paraId="27B165FC"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2580.47</w:t>
            </w:r>
          </w:p>
        </w:tc>
        <w:tc>
          <w:tcPr>
            <w:tcW w:w="707" w:type="dxa"/>
            <w:noWrap/>
            <w:hideMark/>
          </w:tcPr>
          <w:p w14:paraId="5BA24C70"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7.04</w:t>
            </w:r>
          </w:p>
        </w:tc>
        <w:tc>
          <w:tcPr>
            <w:tcW w:w="1130" w:type="dxa"/>
            <w:noWrap/>
            <w:hideMark/>
          </w:tcPr>
          <w:p w14:paraId="7C5B40FF"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7.41</w:t>
            </w:r>
          </w:p>
        </w:tc>
        <w:tc>
          <w:tcPr>
            <w:tcW w:w="1299" w:type="dxa"/>
            <w:noWrap/>
            <w:hideMark/>
          </w:tcPr>
          <w:p w14:paraId="53D96E72"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2.03</w:t>
            </w:r>
          </w:p>
        </w:tc>
        <w:tc>
          <w:tcPr>
            <w:tcW w:w="920" w:type="dxa"/>
            <w:noWrap/>
            <w:hideMark/>
          </w:tcPr>
          <w:p w14:paraId="576EF656"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420.31</w:t>
            </w:r>
          </w:p>
        </w:tc>
        <w:tc>
          <w:tcPr>
            <w:tcW w:w="1068" w:type="dxa"/>
            <w:noWrap/>
            <w:hideMark/>
          </w:tcPr>
          <w:p w14:paraId="56ED22CC"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62807.70</w:t>
            </w:r>
          </w:p>
        </w:tc>
        <w:tc>
          <w:tcPr>
            <w:tcW w:w="818" w:type="dxa"/>
            <w:noWrap/>
            <w:hideMark/>
          </w:tcPr>
          <w:p w14:paraId="625CD8FA"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35.20</w:t>
            </w:r>
          </w:p>
        </w:tc>
        <w:tc>
          <w:tcPr>
            <w:tcW w:w="953" w:type="dxa"/>
            <w:noWrap/>
            <w:hideMark/>
          </w:tcPr>
          <w:p w14:paraId="1EFCEC1A"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26.31</w:t>
            </w:r>
          </w:p>
        </w:tc>
        <w:tc>
          <w:tcPr>
            <w:tcW w:w="1075" w:type="dxa"/>
            <w:noWrap/>
            <w:hideMark/>
          </w:tcPr>
          <w:p w14:paraId="67FA6FE5"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1059381.31</w:t>
            </w:r>
          </w:p>
        </w:tc>
      </w:tr>
      <w:tr w:rsidR="00E423E5" w:rsidRPr="00D16512" w14:paraId="3A351A95" w14:textId="77777777" w:rsidTr="00C04812">
        <w:trPr>
          <w:trHeight w:val="264"/>
        </w:trPr>
        <w:tc>
          <w:tcPr>
            <w:cnfStyle w:val="001000000000" w:firstRow="0" w:lastRow="0" w:firstColumn="1" w:lastColumn="0" w:oddVBand="0" w:evenVBand="0" w:oddHBand="0" w:evenHBand="0" w:firstRowFirstColumn="0" w:firstRowLastColumn="0" w:lastRowFirstColumn="0" w:lastRowLastColumn="0"/>
            <w:tcW w:w="623" w:type="dxa"/>
            <w:noWrap/>
            <w:hideMark/>
          </w:tcPr>
          <w:p w14:paraId="552C5ECF"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lastRenderedPageBreak/>
              <w:t xml:space="preserve">Std. V </w:t>
            </w:r>
          </w:p>
        </w:tc>
        <w:tc>
          <w:tcPr>
            <w:tcW w:w="757" w:type="dxa"/>
            <w:noWrap/>
            <w:hideMark/>
          </w:tcPr>
          <w:p w14:paraId="223E0D35"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372.38</w:t>
            </w:r>
          </w:p>
        </w:tc>
        <w:tc>
          <w:tcPr>
            <w:tcW w:w="707" w:type="dxa"/>
            <w:noWrap/>
            <w:hideMark/>
          </w:tcPr>
          <w:p w14:paraId="418D7435"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0.30</w:t>
            </w:r>
          </w:p>
        </w:tc>
        <w:tc>
          <w:tcPr>
            <w:tcW w:w="1130" w:type="dxa"/>
            <w:noWrap/>
            <w:hideMark/>
          </w:tcPr>
          <w:p w14:paraId="6AAFF9CE"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6.58</w:t>
            </w:r>
          </w:p>
        </w:tc>
        <w:tc>
          <w:tcPr>
            <w:tcW w:w="1299" w:type="dxa"/>
            <w:noWrap/>
            <w:hideMark/>
          </w:tcPr>
          <w:p w14:paraId="7C0F4AE5"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0.55</w:t>
            </w:r>
          </w:p>
        </w:tc>
        <w:tc>
          <w:tcPr>
            <w:tcW w:w="920" w:type="dxa"/>
            <w:noWrap/>
            <w:hideMark/>
          </w:tcPr>
          <w:p w14:paraId="71B92514"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136.31</w:t>
            </w:r>
          </w:p>
        </w:tc>
        <w:tc>
          <w:tcPr>
            <w:tcW w:w="1068" w:type="dxa"/>
            <w:noWrap/>
            <w:hideMark/>
          </w:tcPr>
          <w:p w14:paraId="66D07410"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17782.89</w:t>
            </w:r>
          </w:p>
        </w:tc>
        <w:tc>
          <w:tcPr>
            <w:tcW w:w="818" w:type="dxa"/>
            <w:noWrap/>
            <w:hideMark/>
          </w:tcPr>
          <w:p w14:paraId="66017722"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3.63</w:t>
            </w:r>
          </w:p>
        </w:tc>
        <w:tc>
          <w:tcPr>
            <w:tcW w:w="953" w:type="dxa"/>
            <w:noWrap/>
            <w:hideMark/>
          </w:tcPr>
          <w:p w14:paraId="61442DB7"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6.96</w:t>
            </w:r>
          </w:p>
        </w:tc>
        <w:tc>
          <w:tcPr>
            <w:tcW w:w="1075" w:type="dxa"/>
            <w:noWrap/>
            <w:hideMark/>
          </w:tcPr>
          <w:p w14:paraId="0F9AA192"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278522.25</w:t>
            </w:r>
          </w:p>
        </w:tc>
      </w:tr>
      <w:tr w:rsidR="00E423E5" w:rsidRPr="00D16512" w14:paraId="7DEC43BD" w14:textId="77777777" w:rsidTr="00C0481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3" w:type="dxa"/>
            <w:noWrap/>
            <w:hideMark/>
          </w:tcPr>
          <w:p w14:paraId="224996FB"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t>Skew</w:t>
            </w:r>
          </w:p>
        </w:tc>
        <w:tc>
          <w:tcPr>
            <w:tcW w:w="757" w:type="dxa"/>
            <w:noWrap/>
            <w:hideMark/>
          </w:tcPr>
          <w:p w14:paraId="7C31CE48"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0.52</w:t>
            </w:r>
          </w:p>
        </w:tc>
        <w:tc>
          <w:tcPr>
            <w:tcW w:w="707" w:type="dxa"/>
            <w:noWrap/>
            <w:hideMark/>
          </w:tcPr>
          <w:p w14:paraId="1DC39BB7"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0.89</w:t>
            </w:r>
          </w:p>
        </w:tc>
        <w:tc>
          <w:tcPr>
            <w:tcW w:w="1130" w:type="dxa"/>
            <w:noWrap/>
            <w:hideMark/>
          </w:tcPr>
          <w:p w14:paraId="7439832F"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0.48</w:t>
            </w:r>
          </w:p>
        </w:tc>
        <w:tc>
          <w:tcPr>
            <w:tcW w:w="1299" w:type="dxa"/>
            <w:noWrap/>
            <w:hideMark/>
          </w:tcPr>
          <w:p w14:paraId="5D6A9BC2"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-0.74</w:t>
            </w:r>
          </w:p>
        </w:tc>
        <w:tc>
          <w:tcPr>
            <w:tcW w:w="920" w:type="dxa"/>
            <w:noWrap/>
            <w:hideMark/>
          </w:tcPr>
          <w:p w14:paraId="5DE63AB7"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1.21</w:t>
            </w:r>
          </w:p>
        </w:tc>
        <w:tc>
          <w:tcPr>
            <w:tcW w:w="1068" w:type="dxa"/>
            <w:noWrap/>
            <w:hideMark/>
          </w:tcPr>
          <w:p w14:paraId="64676521"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0.29</w:t>
            </w:r>
          </w:p>
        </w:tc>
        <w:tc>
          <w:tcPr>
            <w:tcW w:w="818" w:type="dxa"/>
            <w:noWrap/>
            <w:hideMark/>
          </w:tcPr>
          <w:p w14:paraId="6D9F9D58"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-0.16</w:t>
            </w:r>
          </w:p>
        </w:tc>
        <w:tc>
          <w:tcPr>
            <w:tcW w:w="953" w:type="dxa"/>
            <w:noWrap/>
            <w:hideMark/>
          </w:tcPr>
          <w:p w14:paraId="1F642A90"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0.14</w:t>
            </w:r>
          </w:p>
        </w:tc>
        <w:tc>
          <w:tcPr>
            <w:tcW w:w="1075" w:type="dxa"/>
            <w:noWrap/>
            <w:hideMark/>
          </w:tcPr>
          <w:p w14:paraId="60C197E0"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0.35</w:t>
            </w:r>
          </w:p>
        </w:tc>
      </w:tr>
      <w:tr w:rsidR="00E423E5" w:rsidRPr="00D16512" w14:paraId="7AA6E54E" w14:textId="77777777" w:rsidTr="00C04812">
        <w:trPr>
          <w:trHeight w:val="264"/>
        </w:trPr>
        <w:tc>
          <w:tcPr>
            <w:cnfStyle w:val="001000000000" w:firstRow="0" w:lastRow="0" w:firstColumn="1" w:lastColumn="0" w:oddVBand="0" w:evenVBand="0" w:oddHBand="0" w:evenHBand="0" w:firstRowFirstColumn="0" w:firstRowLastColumn="0" w:lastRowFirstColumn="0" w:lastRowLastColumn="0"/>
            <w:tcW w:w="623" w:type="dxa"/>
            <w:noWrap/>
            <w:hideMark/>
          </w:tcPr>
          <w:p w14:paraId="6BEFA1EB"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t>Q1</w:t>
            </w:r>
          </w:p>
        </w:tc>
        <w:tc>
          <w:tcPr>
            <w:tcW w:w="757" w:type="dxa"/>
            <w:noWrap/>
            <w:hideMark/>
          </w:tcPr>
          <w:p w14:paraId="6323A2BD"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2400.00</w:t>
            </w:r>
          </w:p>
        </w:tc>
        <w:tc>
          <w:tcPr>
            <w:tcW w:w="707" w:type="dxa"/>
            <w:noWrap/>
            <w:hideMark/>
          </w:tcPr>
          <w:p w14:paraId="69271BED"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6.83</w:t>
            </w:r>
          </w:p>
        </w:tc>
        <w:tc>
          <w:tcPr>
            <w:tcW w:w="1130" w:type="dxa"/>
            <w:noWrap/>
            <w:hideMark/>
          </w:tcPr>
          <w:p w14:paraId="1C674930"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3.98</w:t>
            </w:r>
          </w:p>
        </w:tc>
        <w:tc>
          <w:tcPr>
            <w:tcW w:w="1299" w:type="dxa"/>
            <w:noWrap/>
            <w:hideMark/>
          </w:tcPr>
          <w:p w14:paraId="416F741B"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1.86</w:t>
            </w:r>
          </w:p>
        </w:tc>
        <w:tc>
          <w:tcPr>
            <w:tcW w:w="920" w:type="dxa"/>
            <w:noWrap/>
            <w:hideMark/>
          </w:tcPr>
          <w:p w14:paraId="6BC5F617"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332.85</w:t>
            </w:r>
          </w:p>
        </w:tc>
        <w:tc>
          <w:tcPr>
            <w:tcW w:w="1068" w:type="dxa"/>
            <w:noWrap/>
            <w:hideMark/>
          </w:tcPr>
          <w:p w14:paraId="247EB8BC"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46953.00</w:t>
            </w:r>
          </w:p>
        </w:tc>
        <w:tc>
          <w:tcPr>
            <w:tcW w:w="818" w:type="dxa"/>
            <w:noWrap/>
            <w:hideMark/>
          </w:tcPr>
          <w:p w14:paraId="2C81B8D3"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32.53</w:t>
            </w:r>
          </w:p>
        </w:tc>
        <w:tc>
          <w:tcPr>
            <w:tcW w:w="953" w:type="dxa"/>
            <w:noWrap/>
            <w:hideMark/>
          </w:tcPr>
          <w:p w14:paraId="079C36CB"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20.25</w:t>
            </w:r>
          </w:p>
        </w:tc>
        <w:tc>
          <w:tcPr>
            <w:tcW w:w="1075" w:type="dxa"/>
            <w:noWrap/>
            <w:hideMark/>
          </w:tcPr>
          <w:p w14:paraId="0EEECFCF"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877477.58</w:t>
            </w:r>
          </w:p>
        </w:tc>
      </w:tr>
      <w:tr w:rsidR="00E423E5" w:rsidRPr="00D16512" w14:paraId="20E617B5" w14:textId="77777777" w:rsidTr="00C0481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3" w:type="dxa"/>
            <w:noWrap/>
            <w:hideMark/>
          </w:tcPr>
          <w:p w14:paraId="6FB7C882"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t>Q</w:t>
            </w:r>
          </w:p>
        </w:tc>
        <w:tc>
          <w:tcPr>
            <w:tcW w:w="757" w:type="dxa"/>
            <w:noWrap/>
            <w:hideMark/>
          </w:tcPr>
          <w:p w14:paraId="78942812"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2500.00</w:t>
            </w:r>
          </w:p>
        </w:tc>
        <w:tc>
          <w:tcPr>
            <w:tcW w:w="707" w:type="dxa"/>
            <w:noWrap/>
            <w:hideMark/>
          </w:tcPr>
          <w:p w14:paraId="66D23CB0"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7.00</w:t>
            </w:r>
          </w:p>
        </w:tc>
        <w:tc>
          <w:tcPr>
            <w:tcW w:w="1130" w:type="dxa"/>
            <w:noWrap/>
            <w:hideMark/>
          </w:tcPr>
          <w:p w14:paraId="2A6F1969"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7.03</w:t>
            </w:r>
          </w:p>
        </w:tc>
        <w:tc>
          <w:tcPr>
            <w:tcW w:w="1299" w:type="dxa"/>
            <w:noWrap/>
            <w:hideMark/>
          </w:tcPr>
          <w:p w14:paraId="032E9316"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2.08</w:t>
            </w:r>
          </w:p>
        </w:tc>
        <w:tc>
          <w:tcPr>
            <w:tcW w:w="920" w:type="dxa"/>
            <w:noWrap/>
            <w:hideMark/>
          </w:tcPr>
          <w:p w14:paraId="2CCD607A"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396.01</w:t>
            </w:r>
          </w:p>
        </w:tc>
        <w:tc>
          <w:tcPr>
            <w:tcW w:w="1068" w:type="dxa"/>
            <w:noWrap/>
            <w:hideMark/>
          </w:tcPr>
          <w:p w14:paraId="5DFAE59D"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62757.00</w:t>
            </w:r>
          </w:p>
        </w:tc>
        <w:tc>
          <w:tcPr>
            <w:tcW w:w="818" w:type="dxa"/>
            <w:noWrap/>
            <w:hideMark/>
          </w:tcPr>
          <w:p w14:paraId="7D4798D7"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35.00</w:t>
            </w:r>
          </w:p>
        </w:tc>
        <w:tc>
          <w:tcPr>
            <w:tcW w:w="953" w:type="dxa"/>
            <w:noWrap/>
            <w:hideMark/>
          </w:tcPr>
          <w:p w14:paraId="3EBF6405"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26.50</w:t>
            </w:r>
          </w:p>
        </w:tc>
        <w:tc>
          <w:tcPr>
            <w:tcW w:w="1075" w:type="dxa"/>
            <w:noWrap/>
            <w:hideMark/>
          </w:tcPr>
          <w:p w14:paraId="4F6CEDA8"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1035749.21</w:t>
            </w:r>
          </w:p>
        </w:tc>
      </w:tr>
      <w:tr w:rsidR="00E423E5" w:rsidRPr="00D16512" w14:paraId="6BD70BDE" w14:textId="77777777" w:rsidTr="00C04812">
        <w:trPr>
          <w:trHeight w:val="264"/>
        </w:trPr>
        <w:tc>
          <w:tcPr>
            <w:cnfStyle w:val="001000000000" w:firstRow="0" w:lastRow="0" w:firstColumn="1" w:lastColumn="0" w:oddVBand="0" w:evenVBand="0" w:oddHBand="0" w:evenHBand="0" w:firstRowFirstColumn="0" w:firstRowLastColumn="0" w:lastRowFirstColumn="0" w:lastRowLastColumn="0"/>
            <w:tcW w:w="623" w:type="dxa"/>
            <w:noWrap/>
            <w:hideMark/>
          </w:tcPr>
          <w:p w14:paraId="36282DC8"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t xml:space="preserve">Q3 </w:t>
            </w:r>
          </w:p>
        </w:tc>
        <w:tc>
          <w:tcPr>
            <w:tcW w:w="757" w:type="dxa"/>
            <w:noWrap/>
            <w:hideMark/>
          </w:tcPr>
          <w:p w14:paraId="3E711FE2"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2735.25</w:t>
            </w:r>
          </w:p>
        </w:tc>
        <w:tc>
          <w:tcPr>
            <w:tcW w:w="707" w:type="dxa"/>
            <w:noWrap/>
            <w:hideMark/>
          </w:tcPr>
          <w:p w14:paraId="14E0ECDB"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7.18</w:t>
            </w:r>
          </w:p>
        </w:tc>
        <w:tc>
          <w:tcPr>
            <w:tcW w:w="1130" w:type="dxa"/>
            <w:noWrap/>
            <w:hideMark/>
          </w:tcPr>
          <w:p w14:paraId="13EB598A"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11.42</w:t>
            </w:r>
          </w:p>
        </w:tc>
        <w:tc>
          <w:tcPr>
            <w:tcW w:w="1299" w:type="dxa"/>
            <w:noWrap/>
            <w:hideMark/>
          </w:tcPr>
          <w:p w14:paraId="46D6BDA7"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2.33</w:t>
            </w:r>
          </w:p>
        </w:tc>
        <w:tc>
          <w:tcPr>
            <w:tcW w:w="920" w:type="dxa"/>
            <w:noWrap/>
            <w:hideMark/>
          </w:tcPr>
          <w:p w14:paraId="37368430"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483.56</w:t>
            </w:r>
          </w:p>
        </w:tc>
        <w:tc>
          <w:tcPr>
            <w:tcW w:w="1068" w:type="dxa"/>
            <w:noWrap/>
            <w:hideMark/>
          </w:tcPr>
          <w:p w14:paraId="4179FB15"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76194.25</w:t>
            </w:r>
          </w:p>
        </w:tc>
        <w:tc>
          <w:tcPr>
            <w:tcW w:w="818" w:type="dxa"/>
            <w:noWrap/>
            <w:hideMark/>
          </w:tcPr>
          <w:p w14:paraId="7FA21FB4"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37.53</w:t>
            </w:r>
          </w:p>
        </w:tc>
        <w:tc>
          <w:tcPr>
            <w:tcW w:w="953" w:type="dxa"/>
            <w:noWrap/>
            <w:hideMark/>
          </w:tcPr>
          <w:p w14:paraId="09A73CBF"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30.75</w:t>
            </w:r>
          </w:p>
        </w:tc>
        <w:tc>
          <w:tcPr>
            <w:tcW w:w="1075" w:type="dxa"/>
            <w:noWrap/>
            <w:hideMark/>
          </w:tcPr>
          <w:p w14:paraId="6FD224B4"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1228866.96</w:t>
            </w:r>
          </w:p>
        </w:tc>
      </w:tr>
      <w:tr w:rsidR="00E423E5" w:rsidRPr="00D16512" w14:paraId="0C1E6971" w14:textId="77777777" w:rsidTr="00C0481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3" w:type="dxa"/>
            <w:noWrap/>
            <w:hideMark/>
          </w:tcPr>
          <w:p w14:paraId="33EF34DE"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t xml:space="preserve">Q4 </w:t>
            </w:r>
          </w:p>
        </w:tc>
        <w:tc>
          <w:tcPr>
            <w:tcW w:w="757" w:type="dxa"/>
            <w:noWrap/>
            <w:hideMark/>
          </w:tcPr>
          <w:p w14:paraId="7ACBEDCE"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3799.00</w:t>
            </w:r>
          </w:p>
        </w:tc>
        <w:tc>
          <w:tcPr>
            <w:tcW w:w="707" w:type="dxa"/>
            <w:noWrap/>
            <w:hideMark/>
          </w:tcPr>
          <w:p w14:paraId="7C6EEAC6"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7.97</w:t>
            </w:r>
          </w:p>
        </w:tc>
        <w:tc>
          <w:tcPr>
            <w:tcW w:w="1130" w:type="dxa"/>
            <w:noWrap/>
            <w:hideMark/>
          </w:tcPr>
          <w:p w14:paraId="4631A058"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28.81</w:t>
            </w:r>
          </w:p>
        </w:tc>
        <w:tc>
          <w:tcPr>
            <w:tcW w:w="1299" w:type="dxa"/>
            <w:noWrap/>
            <w:hideMark/>
          </w:tcPr>
          <w:p w14:paraId="78E137E4"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3.38</w:t>
            </w:r>
          </w:p>
        </w:tc>
        <w:tc>
          <w:tcPr>
            <w:tcW w:w="920" w:type="dxa"/>
            <w:noWrap/>
            <w:hideMark/>
          </w:tcPr>
          <w:p w14:paraId="732A238E"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987.12</w:t>
            </w:r>
          </w:p>
        </w:tc>
        <w:tc>
          <w:tcPr>
            <w:tcW w:w="1068" w:type="dxa"/>
            <w:noWrap/>
            <w:hideMark/>
          </w:tcPr>
          <w:p w14:paraId="32A2F6FF"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114353.00</w:t>
            </w:r>
          </w:p>
        </w:tc>
        <w:tc>
          <w:tcPr>
            <w:tcW w:w="818" w:type="dxa"/>
            <w:noWrap/>
            <w:hideMark/>
          </w:tcPr>
          <w:p w14:paraId="30EA6A95"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43.50</w:t>
            </w:r>
          </w:p>
        </w:tc>
        <w:tc>
          <w:tcPr>
            <w:tcW w:w="953" w:type="dxa"/>
            <w:noWrap/>
            <w:hideMark/>
          </w:tcPr>
          <w:p w14:paraId="2C0796B8"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40.00</w:t>
            </w:r>
          </w:p>
        </w:tc>
        <w:tc>
          <w:tcPr>
            <w:tcW w:w="1075" w:type="dxa"/>
            <w:noWrap/>
            <w:hideMark/>
          </w:tcPr>
          <w:p w14:paraId="3A2DDA59" w14:textId="77777777" w:rsidR="00E423E5" w:rsidRPr="00D16512" w:rsidRDefault="00E423E5" w:rsidP="0016380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1746600.00</w:t>
            </w:r>
          </w:p>
        </w:tc>
      </w:tr>
      <w:tr w:rsidR="00E423E5" w:rsidRPr="00D16512" w14:paraId="1591977D" w14:textId="77777777" w:rsidTr="00C04812">
        <w:trPr>
          <w:trHeight w:val="276"/>
        </w:trPr>
        <w:tc>
          <w:tcPr>
            <w:cnfStyle w:val="001000000000" w:firstRow="0" w:lastRow="0" w:firstColumn="1" w:lastColumn="0" w:oddVBand="0" w:evenVBand="0" w:oddHBand="0" w:evenHBand="0" w:firstRowFirstColumn="0" w:firstRowLastColumn="0" w:lastRowFirstColumn="0" w:lastRowLastColumn="0"/>
            <w:tcW w:w="623" w:type="dxa"/>
            <w:noWrap/>
            <w:hideMark/>
          </w:tcPr>
          <w:p w14:paraId="05BFD71E" w14:textId="77777777" w:rsidR="00E423E5" w:rsidRPr="00D16512" w:rsidRDefault="00E423E5" w:rsidP="0016380F">
            <w:pPr>
              <w:spacing w:line="480" w:lineRule="auto"/>
              <w:rPr>
                <w:rFonts w:ascii="Times New Roman" w:hAnsi="Times New Roman" w:cs="Times New Roman"/>
              </w:rPr>
            </w:pPr>
            <w:r w:rsidRPr="00D16512">
              <w:rPr>
                <w:rFonts w:ascii="Times New Roman" w:hAnsi="Times New Roman" w:cs="Times New Roman"/>
              </w:rPr>
              <w:t>IQR</w:t>
            </w:r>
          </w:p>
        </w:tc>
        <w:tc>
          <w:tcPr>
            <w:tcW w:w="757" w:type="dxa"/>
            <w:noWrap/>
            <w:hideMark/>
          </w:tcPr>
          <w:p w14:paraId="2BAC3CD1"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335.25</w:t>
            </w:r>
          </w:p>
        </w:tc>
        <w:tc>
          <w:tcPr>
            <w:tcW w:w="707" w:type="dxa"/>
            <w:noWrap/>
            <w:hideMark/>
          </w:tcPr>
          <w:p w14:paraId="09A5EA22"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0.35</w:t>
            </w:r>
          </w:p>
        </w:tc>
        <w:tc>
          <w:tcPr>
            <w:tcW w:w="1130" w:type="dxa"/>
            <w:noWrap/>
            <w:hideMark/>
          </w:tcPr>
          <w:p w14:paraId="3D13C36A"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7.44</w:t>
            </w:r>
          </w:p>
        </w:tc>
        <w:tc>
          <w:tcPr>
            <w:tcW w:w="1299" w:type="dxa"/>
            <w:noWrap/>
            <w:hideMark/>
          </w:tcPr>
          <w:p w14:paraId="3A3C81AA"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0.47</w:t>
            </w:r>
          </w:p>
        </w:tc>
        <w:tc>
          <w:tcPr>
            <w:tcW w:w="920" w:type="dxa"/>
            <w:noWrap/>
            <w:hideMark/>
          </w:tcPr>
          <w:p w14:paraId="3E472D86"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150.72</w:t>
            </w:r>
          </w:p>
        </w:tc>
        <w:tc>
          <w:tcPr>
            <w:tcW w:w="1068" w:type="dxa"/>
            <w:noWrap/>
            <w:hideMark/>
          </w:tcPr>
          <w:p w14:paraId="4BAA548E"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29241.25</w:t>
            </w:r>
          </w:p>
        </w:tc>
        <w:tc>
          <w:tcPr>
            <w:tcW w:w="818" w:type="dxa"/>
            <w:noWrap/>
            <w:hideMark/>
          </w:tcPr>
          <w:p w14:paraId="607AB47C"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5.00</w:t>
            </w:r>
          </w:p>
        </w:tc>
        <w:tc>
          <w:tcPr>
            <w:tcW w:w="953" w:type="dxa"/>
            <w:noWrap/>
            <w:hideMark/>
          </w:tcPr>
          <w:p w14:paraId="5E6ADE46"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10.50</w:t>
            </w:r>
          </w:p>
        </w:tc>
        <w:tc>
          <w:tcPr>
            <w:tcW w:w="1075" w:type="dxa"/>
            <w:noWrap/>
            <w:hideMark/>
          </w:tcPr>
          <w:p w14:paraId="44DE0C7B" w14:textId="77777777" w:rsidR="00E423E5" w:rsidRPr="00D16512" w:rsidRDefault="00E423E5" w:rsidP="0016380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512">
              <w:rPr>
                <w:rFonts w:ascii="Times New Roman" w:hAnsi="Times New Roman" w:cs="Times New Roman"/>
              </w:rPr>
              <w:t>351389.39</w:t>
            </w:r>
          </w:p>
        </w:tc>
      </w:tr>
    </w:tbl>
    <w:p w14:paraId="69ED6078" w14:textId="77777777" w:rsidR="0067436F" w:rsidRPr="00D16512" w:rsidRDefault="0067436F" w:rsidP="0016380F">
      <w:pPr>
        <w:spacing w:line="480" w:lineRule="auto"/>
        <w:rPr>
          <w:rFonts w:ascii="Times New Roman" w:hAnsi="Times New Roman" w:cs="Times New Roman"/>
        </w:rPr>
      </w:pPr>
    </w:p>
    <w:p w14:paraId="3B528C9B" w14:textId="5051B87F" w:rsidR="00E423E5" w:rsidRPr="00D16512" w:rsidRDefault="00E423E5" w:rsidP="0016380F">
      <w:pPr>
        <w:spacing w:line="480" w:lineRule="auto"/>
        <w:ind w:firstLine="720"/>
        <w:rPr>
          <w:rFonts w:ascii="Times New Roman" w:hAnsi="Times New Roman" w:cs="Times New Roman"/>
        </w:rPr>
      </w:pPr>
      <w:r w:rsidRPr="00D16512">
        <w:rPr>
          <w:rFonts w:ascii="Times New Roman" w:hAnsi="Times New Roman" w:cs="Times New Roman"/>
        </w:rPr>
        <w:t>The figure below shows a box plot for annual sales. From the boxplot, it can be concluded that the annual sales are not symmetric. The boxplot shows that the data is right-skewed. This can be further confirmed by the skew value</w:t>
      </w:r>
      <w:r w:rsidR="00BF51D4" w:rsidRPr="00D16512">
        <w:rPr>
          <w:rFonts w:ascii="Times New Roman" w:hAnsi="Times New Roman" w:cs="Times New Roman"/>
        </w:rPr>
        <w:t xml:space="preserve"> for annual sales</w:t>
      </w:r>
      <w:r w:rsidRPr="00D16512">
        <w:rPr>
          <w:rFonts w:ascii="Times New Roman" w:hAnsi="Times New Roman" w:cs="Times New Roman"/>
        </w:rPr>
        <w:t xml:space="preserve"> in the above table</w:t>
      </w:r>
      <w:r w:rsidR="00BF51D4" w:rsidRPr="00D16512">
        <w:rPr>
          <w:rFonts w:ascii="Times New Roman" w:hAnsi="Times New Roman" w:cs="Times New Roman"/>
        </w:rPr>
        <w:t>,</w:t>
      </w:r>
      <w:r w:rsidRPr="00D16512">
        <w:rPr>
          <w:rFonts w:ascii="Times New Roman" w:hAnsi="Times New Roman" w:cs="Times New Roman"/>
        </w:rPr>
        <w:t xml:space="preserve"> </w:t>
      </w:r>
      <w:r w:rsidR="00A5408B" w:rsidRPr="00D16512">
        <w:rPr>
          <w:rFonts w:ascii="Times New Roman" w:hAnsi="Times New Roman" w:cs="Times New Roman"/>
        </w:rPr>
        <w:t xml:space="preserve">which is </w:t>
      </w:r>
      <w:r w:rsidR="00BF51D4" w:rsidRPr="00D16512">
        <w:rPr>
          <w:rFonts w:ascii="Times New Roman" w:hAnsi="Times New Roman" w:cs="Times New Roman"/>
        </w:rPr>
        <w:t>0.35.</w:t>
      </w:r>
      <w:r w:rsidR="00A5408B" w:rsidRPr="00D16512">
        <w:rPr>
          <w:rFonts w:ascii="Times New Roman" w:hAnsi="Times New Roman" w:cs="Times New Roman"/>
        </w:rPr>
        <w:t xml:space="preserve"> </w:t>
      </w:r>
      <w:r w:rsidR="003424AA" w:rsidRPr="00D16512">
        <w:rPr>
          <w:rFonts w:ascii="Times New Roman" w:hAnsi="Times New Roman" w:cs="Times New Roman"/>
        </w:rPr>
        <w:t>Since the data contains outliers, the IQR is better than the standard deviation for describing the dispersion of the data. This is because IQR is not affected by extreme outliers</w:t>
      </w:r>
      <w:r w:rsidR="00A5408B" w:rsidRPr="00D16512">
        <w:rPr>
          <w:rFonts w:ascii="Times New Roman" w:hAnsi="Times New Roman" w:cs="Times New Roman"/>
        </w:rPr>
        <w:t>,</w:t>
      </w:r>
      <w:r w:rsidR="003424AA" w:rsidRPr="00D16512">
        <w:rPr>
          <w:rFonts w:ascii="Times New Roman" w:hAnsi="Times New Roman" w:cs="Times New Roman"/>
        </w:rPr>
        <w:t xml:space="preserve"> </w:t>
      </w:r>
      <w:r w:rsidR="00A5408B" w:rsidRPr="00D16512">
        <w:rPr>
          <w:rFonts w:ascii="Times New Roman" w:hAnsi="Times New Roman" w:cs="Times New Roman"/>
        </w:rPr>
        <w:t xml:space="preserve">and reliable findings are likely to be obtained (Bobbitt, 2021). </w:t>
      </w:r>
    </w:p>
    <w:p w14:paraId="00AF78FA" w14:textId="01F73E46" w:rsidR="00E423E5" w:rsidRPr="00D16512" w:rsidRDefault="00E423E5" w:rsidP="0016380F">
      <w:pPr>
        <w:spacing w:line="480" w:lineRule="auto"/>
        <w:jc w:val="center"/>
        <w:rPr>
          <w:rFonts w:ascii="Times New Roman" w:hAnsi="Times New Roman" w:cs="Times New Roman"/>
        </w:rPr>
      </w:pPr>
      <w:r w:rsidRPr="00D16512">
        <w:rPr>
          <w:rFonts w:ascii="Times New Roman" w:hAnsi="Times New Roman" w:cs="Times New Roman"/>
          <w:noProof/>
        </w:rPr>
        <w:lastRenderedPageBreak/>
        <mc:AlternateContent>
          <mc:Choice Requires="cx1">
            <w:drawing>
              <wp:inline distT="0" distB="0" distL="0" distR="0" wp14:anchorId="051CC6A5" wp14:editId="6DF8A711">
                <wp:extent cx="4191000" cy="2743200"/>
                <wp:effectExtent l="0" t="0" r="0" b="0"/>
                <wp:docPr id="787703222" name="Chart 1">
                  <a:extLst xmlns:a="http://schemas.openxmlformats.org/drawingml/2006/main">
                    <a:ext uri="{FF2B5EF4-FFF2-40B4-BE49-F238E27FC236}">
                      <a16:creationId xmlns:a16="http://schemas.microsoft.com/office/drawing/2014/main" id="{1C10070E-AF39-EE81-64EB-0D4615038DE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051CC6A5" wp14:editId="6DF8A711">
                <wp:extent cx="4191000" cy="2743200"/>
                <wp:effectExtent l="0" t="0" r="0" b="0"/>
                <wp:docPr id="787703222" name="Chart 1">
                  <a:extLst xmlns:a="http://schemas.openxmlformats.org/drawingml/2006/main">
                    <a:ext uri="{FF2B5EF4-FFF2-40B4-BE49-F238E27FC236}">
                      <a16:creationId xmlns:a16="http://schemas.microsoft.com/office/drawing/2014/main" id="{1C10070E-AF39-EE81-64EB-0D4615038DE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87703222" name="Chart 1">
                          <a:extLst>
                            <a:ext uri="{FF2B5EF4-FFF2-40B4-BE49-F238E27FC236}">
                              <a16:creationId xmlns:a16="http://schemas.microsoft.com/office/drawing/2014/main" id="{1C10070E-AF39-EE81-64EB-0D4615038DE7}"/>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191000" cy="2743200"/>
                        </a:xfrm>
                        <a:prstGeom prst="rect">
                          <a:avLst/>
                        </a:prstGeom>
                      </pic:spPr>
                    </pic:pic>
                  </a:graphicData>
                </a:graphic>
              </wp:inline>
            </w:drawing>
          </mc:Fallback>
        </mc:AlternateContent>
      </w:r>
    </w:p>
    <w:p w14:paraId="0F047647" w14:textId="235A282B" w:rsidR="00311966" w:rsidRPr="00D16512" w:rsidRDefault="00311966" w:rsidP="0016380F">
      <w:pPr>
        <w:spacing w:line="480" w:lineRule="auto"/>
        <w:ind w:firstLine="720"/>
        <w:rPr>
          <w:rFonts w:ascii="Times New Roman" w:hAnsi="Times New Roman" w:cs="Times New Roman"/>
        </w:rPr>
      </w:pPr>
      <w:r w:rsidRPr="00D16512">
        <w:rPr>
          <w:rFonts w:ascii="Times New Roman" w:hAnsi="Times New Roman" w:cs="Times New Roman"/>
        </w:rPr>
        <w:t xml:space="preserve">The figure below shows a histogram. </w:t>
      </w:r>
      <w:r w:rsidR="00A5408B" w:rsidRPr="00D16512">
        <w:rPr>
          <w:rFonts w:ascii="Times New Roman" w:hAnsi="Times New Roman" w:cs="Times New Roman"/>
        </w:rPr>
        <w:t>The histogram for sales/</w:t>
      </w:r>
      <w:proofErr w:type="spellStart"/>
      <w:r w:rsidR="00A5408B" w:rsidRPr="00D16512">
        <w:rPr>
          <w:rFonts w:ascii="Times New Roman" w:hAnsi="Times New Roman" w:cs="Times New Roman"/>
        </w:rPr>
        <w:t>SqFt</w:t>
      </w:r>
      <w:proofErr w:type="spellEnd"/>
      <w:r w:rsidR="00A5408B" w:rsidRPr="00D16512">
        <w:rPr>
          <w:rFonts w:ascii="Times New Roman" w:hAnsi="Times New Roman" w:cs="Times New Roman"/>
        </w:rPr>
        <w:t xml:space="preserve"> is not symmetric; most restaurants range between 260- 520 sales/</w:t>
      </w:r>
      <w:proofErr w:type="spellStart"/>
      <w:r w:rsidR="00A5408B" w:rsidRPr="00D16512">
        <w:rPr>
          <w:rFonts w:ascii="Times New Roman" w:hAnsi="Times New Roman" w:cs="Times New Roman"/>
        </w:rPr>
        <w:t>SqFt</w:t>
      </w:r>
      <w:proofErr w:type="spellEnd"/>
      <w:r w:rsidR="00A5408B" w:rsidRPr="00D16512">
        <w:rPr>
          <w:rFonts w:ascii="Times New Roman" w:hAnsi="Times New Roman" w:cs="Times New Roman"/>
        </w:rPr>
        <w:t xml:space="preserve">. The data in this histogram is right-skewed; there is a longer tail on the right. </w:t>
      </w:r>
      <w:r w:rsidR="00C04812">
        <w:rPr>
          <w:rFonts w:ascii="Times New Roman" w:hAnsi="Times New Roman" w:cs="Times New Roman"/>
        </w:rPr>
        <w:t>The variable annual sales has outliers ranging between</w:t>
      </w:r>
      <w:r w:rsidR="00221BE1" w:rsidRPr="00D16512">
        <w:rPr>
          <w:rFonts w:ascii="Times New Roman" w:hAnsi="Times New Roman" w:cs="Times New Roman"/>
        </w:rPr>
        <w:t xml:space="preserve"> 910- 1040, and this is higher than other restaurants. The reason behind this could be either that the restaurant is smaller but making higher sales, or the restaurant runs efficiently, making more sales for its size than average. Since the data is right-skewed, the median is the best measure of the central tendency. </w:t>
      </w:r>
      <w:r w:rsidR="00637188" w:rsidRPr="00D16512">
        <w:rPr>
          <w:rFonts w:ascii="Times New Roman" w:hAnsi="Times New Roman" w:cs="Times New Roman"/>
        </w:rPr>
        <w:t>For a distribution with outliers, the median is the best measure of the central tendency because it is not affected by extreme values as the mean (The Pennsylvania State University, 2025).</w:t>
      </w:r>
    </w:p>
    <w:p w14:paraId="0A50DBC6" w14:textId="3312BF30" w:rsidR="00311966" w:rsidRPr="00D16512" w:rsidRDefault="00311966" w:rsidP="0016380F">
      <w:pPr>
        <w:spacing w:line="480" w:lineRule="auto"/>
        <w:jc w:val="center"/>
        <w:rPr>
          <w:rFonts w:ascii="Times New Roman" w:hAnsi="Times New Roman" w:cs="Times New Roman"/>
        </w:rPr>
      </w:pPr>
      <w:r w:rsidRPr="00D16512">
        <w:rPr>
          <w:rFonts w:ascii="Times New Roman" w:hAnsi="Times New Roman" w:cs="Times New Roman"/>
          <w:noProof/>
        </w:rPr>
        <w:lastRenderedPageBreak/>
        <mc:AlternateContent>
          <mc:Choice Requires="cx1">
            <w:drawing>
              <wp:inline distT="0" distB="0" distL="0" distR="0" wp14:anchorId="713D6A14" wp14:editId="377EB9F4">
                <wp:extent cx="3741420" cy="2750820"/>
                <wp:effectExtent l="0" t="0" r="11430" b="11430"/>
                <wp:docPr id="2056985132" name="Chart 1">
                  <a:extLst xmlns:a="http://schemas.openxmlformats.org/drawingml/2006/main">
                    <a:ext uri="{FF2B5EF4-FFF2-40B4-BE49-F238E27FC236}">
                      <a16:creationId xmlns:a16="http://schemas.microsoft.com/office/drawing/2014/main" id="{47EC219D-D520-E598-8A8F-5AABD2B261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13D6A14" wp14:editId="377EB9F4">
                <wp:extent cx="3741420" cy="2750820"/>
                <wp:effectExtent l="0" t="0" r="11430" b="11430"/>
                <wp:docPr id="2056985132" name="Chart 1">
                  <a:extLst xmlns:a="http://schemas.openxmlformats.org/drawingml/2006/main">
                    <a:ext uri="{FF2B5EF4-FFF2-40B4-BE49-F238E27FC236}">
                      <a16:creationId xmlns:a16="http://schemas.microsoft.com/office/drawing/2014/main" id="{47EC219D-D520-E598-8A8F-5AABD2B261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56985132" name="Chart 1">
                          <a:extLst>
                            <a:ext uri="{FF2B5EF4-FFF2-40B4-BE49-F238E27FC236}">
                              <a16:creationId xmlns:a16="http://schemas.microsoft.com/office/drawing/2014/main" id="{47EC219D-D520-E598-8A8F-5AABD2B2617A}"/>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741420" cy="2750820"/>
                        </a:xfrm>
                        <a:prstGeom prst="rect">
                          <a:avLst/>
                        </a:prstGeom>
                      </pic:spPr>
                    </pic:pic>
                  </a:graphicData>
                </a:graphic>
              </wp:inline>
            </w:drawing>
          </mc:Fallback>
        </mc:AlternateContent>
      </w:r>
    </w:p>
    <w:p w14:paraId="2099AFEC" w14:textId="7C023403" w:rsidR="00637188" w:rsidRPr="00D16512" w:rsidRDefault="00637188" w:rsidP="0016380F">
      <w:pPr>
        <w:spacing w:line="480" w:lineRule="auto"/>
        <w:rPr>
          <w:rFonts w:ascii="Times New Roman" w:hAnsi="Times New Roman" w:cs="Times New Roman"/>
          <w:b/>
          <w:bCs/>
        </w:rPr>
      </w:pPr>
      <w:r w:rsidRPr="00D16512">
        <w:rPr>
          <w:rFonts w:ascii="Times New Roman" w:hAnsi="Times New Roman" w:cs="Times New Roman"/>
          <w:b/>
          <w:bCs/>
        </w:rPr>
        <w:t>Section 2: Analysis</w:t>
      </w:r>
    </w:p>
    <w:p w14:paraId="393F9D94" w14:textId="70538EB2" w:rsidR="00637188" w:rsidRPr="00D16512" w:rsidRDefault="00D16512" w:rsidP="0016380F">
      <w:pPr>
        <w:spacing w:line="480" w:lineRule="auto"/>
        <w:jc w:val="center"/>
        <w:rPr>
          <w:rFonts w:ascii="Times New Roman" w:hAnsi="Times New Roman" w:cs="Times New Roman"/>
          <w:b/>
          <w:bCs/>
        </w:rPr>
      </w:pPr>
      <w:r w:rsidRPr="00D16512">
        <w:rPr>
          <w:rFonts w:ascii="Times New Roman" w:hAnsi="Times New Roman" w:cs="Times New Roman"/>
          <w:b/>
          <w:bCs/>
        </w:rPr>
        <w:t xml:space="preserve">Scatter Plots </w:t>
      </w:r>
    </w:p>
    <w:p w14:paraId="7830F49C" w14:textId="7373CA49" w:rsidR="00E259D8" w:rsidRPr="00D16512" w:rsidRDefault="00E259D8" w:rsidP="0016380F">
      <w:pPr>
        <w:spacing w:line="480" w:lineRule="auto"/>
        <w:ind w:firstLine="720"/>
        <w:rPr>
          <w:rFonts w:ascii="Times New Roman" w:eastAsiaTheme="minorEastAsia" w:hAnsi="Times New Roman" w:cs="Times New Roman"/>
        </w:rPr>
      </w:pPr>
      <w:r w:rsidRPr="00D16512">
        <w:rPr>
          <w:rFonts w:ascii="Times New Roman" w:hAnsi="Times New Roman" w:cs="Times New Roman"/>
        </w:rPr>
        <w:t xml:space="preserve">The figure below shows a scatter plot for </w:t>
      </w:r>
      <w:proofErr w:type="spellStart"/>
      <w:r w:rsidRPr="00D16512">
        <w:rPr>
          <w:rFonts w:ascii="Times New Roman" w:hAnsi="Times New Roman" w:cs="Times New Roman"/>
        </w:rPr>
        <w:t>BachDeg</w:t>
      </w:r>
      <w:proofErr w:type="spellEnd"/>
      <w:r w:rsidRPr="00D16512">
        <w:rPr>
          <w:rFonts w:ascii="Times New Roman" w:hAnsi="Times New Roman" w:cs="Times New Roman"/>
        </w:rPr>
        <w:t>% Vs Sales/</w:t>
      </w:r>
      <w:proofErr w:type="spellStart"/>
      <w:r w:rsidRPr="00D16512">
        <w:rPr>
          <w:rFonts w:ascii="Times New Roman" w:hAnsi="Times New Roman" w:cs="Times New Roman"/>
        </w:rPr>
        <w:t>SqFt</w:t>
      </w:r>
      <w:proofErr w:type="spellEnd"/>
      <w:r w:rsidRPr="00D16512">
        <w:rPr>
          <w:rFonts w:ascii="Times New Roman" w:hAnsi="Times New Roman" w:cs="Times New Roman"/>
        </w:rPr>
        <w:t xml:space="preserve">. The equation is </w:t>
      </w:r>
      <m:oMath>
        <m:r>
          <w:rPr>
            <w:rFonts w:ascii="Cambria Math" w:hAnsi="Cambria Math" w:cs="Times New Roman"/>
          </w:rPr>
          <m:t>y=0.0175x+18.975</m:t>
        </m:r>
      </m:oMath>
      <w:r w:rsidRPr="00D16512">
        <w:rPr>
          <w:rFonts w:ascii="Times New Roman" w:eastAsiaTheme="minorEastAsia" w:hAnsi="Times New Roman" w:cs="Times New Roman"/>
        </w:rPr>
        <w:t xml:space="preserve">. </w:t>
      </w:r>
      <w:r w:rsidR="000E0F21" w:rsidRPr="00D16512">
        <w:rPr>
          <w:rFonts w:ascii="Times New Roman" w:eastAsiaTheme="minorEastAsia" w:hAnsi="Times New Roman" w:cs="Times New Roman"/>
        </w:rPr>
        <w:t>The slope of the equation is 0.0175x, which is positive. Therefore,</w:t>
      </w:r>
      <w:r w:rsidRPr="00D16512">
        <w:rPr>
          <w:rFonts w:ascii="Times New Roman" w:eastAsiaTheme="minorEastAsia" w:hAnsi="Times New Roman" w:cs="Times New Roman"/>
        </w:rPr>
        <w:t xml:space="preserve"> it can be concluded that there is a positive relationship between the percentage of individuals with </w:t>
      </w:r>
      <w:r w:rsidR="000E0F21" w:rsidRPr="00D16512">
        <w:rPr>
          <w:rFonts w:ascii="Times New Roman" w:eastAsiaTheme="minorEastAsia" w:hAnsi="Times New Roman" w:cs="Times New Roman"/>
        </w:rPr>
        <w:t>bachelor's</w:t>
      </w:r>
      <w:r w:rsidRPr="00D16512">
        <w:rPr>
          <w:rFonts w:ascii="Times New Roman" w:eastAsiaTheme="minorEastAsia" w:hAnsi="Times New Roman" w:cs="Times New Roman"/>
        </w:rPr>
        <w:t xml:space="preserve"> </w:t>
      </w:r>
      <w:r w:rsidR="000E0F21" w:rsidRPr="00D16512">
        <w:rPr>
          <w:rFonts w:ascii="Times New Roman" w:eastAsiaTheme="minorEastAsia" w:hAnsi="Times New Roman" w:cs="Times New Roman"/>
        </w:rPr>
        <w:t>degrees</w:t>
      </w:r>
      <w:r w:rsidRPr="00D16512">
        <w:rPr>
          <w:rFonts w:ascii="Times New Roman" w:eastAsiaTheme="minorEastAsia" w:hAnsi="Times New Roman" w:cs="Times New Roman"/>
        </w:rPr>
        <w:t xml:space="preserve"> and sales/</w:t>
      </w:r>
      <w:proofErr w:type="spellStart"/>
      <w:r w:rsidRPr="00D16512">
        <w:rPr>
          <w:rFonts w:ascii="Times New Roman" w:eastAsiaTheme="minorEastAsia" w:hAnsi="Times New Roman" w:cs="Times New Roman"/>
        </w:rPr>
        <w:t>Sqft</w:t>
      </w:r>
      <w:proofErr w:type="spellEnd"/>
      <w:r w:rsidRPr="00D16512">
        <w:rPr>
          <w:rFonts w:ascii="Times New Roman" w:eastAsiaTheme="minorEastAsia" w:hAnsi="Times New Roman" w:cs="Times New Roman"/>
        </w:rPr>
        <w:t xml:space="preserve">. As one variable increases, the other one </w:t>
      </w:r>
      <w:r w:rsidR="000E0F21" w:rsidRPr="00D16512">
        <w:rPr>
          <w:rFonts w:ascii="Times New Roman" w:eastAsiaTheme="minorEastAsia" w:hAnsi="Times New Roman" w:cs="Times New Roman"/>
        </w:rPr>
        <w:t>tends</w:t>
      </w:r>
      <w:r w:rsidRPr="00D16512">
        <w:rPr>
          <w:rFonts w:ascii="Times New Roman" w:eastAsiaTheme="minorEastAsia" w:hAnsi="Times New Roman" w:cs="Times New Roman"/>
        </w:rPr>
        <w:t xml:space="preserve"> to increase</w:t>
      </w:r>
      <w:r w:rsidR="000E0F21" w:rsidRPr="00D16512">
        <w:rPr>
          <w:rFonts w:ascii="Times New Roman" w:eastAsiaTheme="minorEastAsia" w:hAnsi="Times New Roman" w:cs="Times New Roman"/>
        </w:rPr>
        <w:t xml:space="preserve">. Areas with more graduates </w:t>
      </w:r>
      <w:r w:rsidR="004B555E" w:rsidRPr="00D16512">
        <w:rPr>
          <w:rFonts w:ascii="Times New Roman" w:eastAsiaTheme="minorEastAsia" w:hAnsi="Times New Roman" w:cs="Times New Roman"/>
        </w:rPr>
        <w:t>tend</w:t>
      </w:r>
      <w:r w:rsidR="000E0F21" w:rsidRPr="00D16512">
        <w:rPr>
          <w:rFonts w:ascii="Times New Roman" w:eastAsiaTheme="minorEastAsia" w:hAnsi="Times New Roman" w:cs="Times New Roman"/>
        </w:rPr>
        <w:t xml:space="preserve"> to have more sales. </w:t>
      </w:r>
    </w:p>
    <w:p w14:paraId="097FC800" w14:textId="6933937E" w:rsidR="00E259D8" w:rsidRPr="00D16512" w:rsidRDefault="00E259D8" w:rsidP="0016380F">
      <w:pPr>
        <w:spacing w:line="480" w:lineRule="auto"/>
        <w:ind w:left="720" w:firstLine="720"/>
        <w:rPr>
          <w:rFonts w:ascii="Times New Roman" w:hAnsi="Times New Roman" w:cs="Times New Roman"/>
          <w:b/>
          <w:bCs/>
        </w:rPr>
      </w:pPr>
      <w:r w:rsidRPr="00D16512">
        <w:rPr>
          <w:rFonts w:ascii="Times New Roman" w:hAnsi="Times New Roman" w:cs="Times New Roman"/>
          <w:noProof/>
        </w:rPr>
        <w:lastRenderedPageBreak/>
        <w:drawing>
          <wp:inline distT="0" distB="0" distL="0" distR="0" wp14:anchorId="7AAE2E26" wp14:editId="48A744E5">
            <wp:extent cx="4572000" cy="2491740"/>
            <wp:effectExtent l="0" t="0" r="0" b="3810"/>
            <wp:docPr id="233505193" name="Chart 1">
              <a:extLst xmlns:a="http://schemas.openxmlformats.org/drawingml/2006/main">
                <a:ext uri="{FF2B5EF4-FFF2-40B4-BE49-F238E27FC236}">
                  <a16:creationId xmlns:a16="http://schemas.microsoft.com/office/drawing/2014/main" id="{C1FB22D5-C2D6-64B9-B809-ADBA601FC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B12B0C" w14:textId="44DB647B" w:rsidR="00E259D8" w:rsidRPr="00D16512" w:rsidRDefault="000E0F21" w:rsidP="0016380F">
      <w:pPr>
        <w:spacing w:line="480" w:lineRule="auto"/>
        <w:ind w:firstLine="720"/>
        <w:rPr>
          <w:rFonts w:ascii="Times New Roman" w:hAnsi="Times New Roman" w:cs="Times New Roman"/>
        </w:rPr>
      </w:pPr>
      <w:r w:rsidRPr="00D16512">
        <w:rPr>
          <w:rFonts w:ascii="Times New Roman" w:hAnsi="Times New Roman" w:cs="Times New Roman"/>
        </w:rPr>
        <w:t>The scatter plot below shows the relationship between MedIncome and Sales/</w:t>
      </w:r>
      <w:proofErr w:type="spellStart"/>
      <w:r w:rsidRPr="00D16512">
        <w:rPr>
          <w:rFonts w:ascii="Times New Roman" w:hAnsi="Times New Roman" w:cs="Times New Roman"/>
        </w:rPr>
        <w:t>SqFt</w:t>
      </w:r>
      <w:proofErr w:type="spellEnd"/>
      <w:r w:rsidRPr="00D16512">
        <w:rPr>
          <w:rFonts w:ascii="Times New Roman" w:hAnsi="Times New Roman" w:cs="Times New Roman"/>
        </w:rPr>
        <w:t xml:space="preserve">. The equation is </w:t>
      </w:r>
      <m:oMath>
        <m:r>
          <w:rPr>
            <w:rFonts w:ascii="Cambria Math" w:hAnsi="Cambria Math" w:cs="Times New Roman"/>
          </w:rPr>
          <m:t>y=-2.9277x+64038</m:t>
        </m:r>
      </m:oMath>
      <w:r w:rsidRPr="00D16512">
        <w:rPr>
          <w:rFonts w:ascii="Times New Roman" w:eastAsiaTheme="minorEastAsia" w:hAnsi="Times New Roman" w:cs="Times New Roman"/>
        </w:rPr>
        <w:t>. The slope of the equation is negative, and this implies a negative relationship between MedIncome and Sales/</w:t>
      </w:r>
      <w:proofErr w:type="spellStart"/>
      <w:r w:rsidRPr="00D16512">
        <w:rPr>
          <w:rFonts w:ascii="Times New Roman" w:eastAsiaTheme="minorEastAsia" w:hAnsi="Times New Roman" w:cs="Times New Roman"/>
        </w:rPr>
        <w:t>SqFt</w:t>
      </w:r>
      <w:proofErr w:type="spellEnd"/>
      <w:r w:rsidRPr="00D16512">
        <w:rPr>
          <w:rFonts w:ascii="Times New Roman" w:eastAsiaTheme="minorEastAsia" w:hAnsi="Times New Roman" w:cs="Times New Roman"/>
        </w:rPr>
        <w:t xml:space="preserve">. </w:t>
      </w:r>
      <w:r w:rsidR="004B555E" w:rsidRPr="00D16512">
        <w:rPr>
          <w:rFonts w:ascii="Times New Roman" w:eastAsiaTheme="minorEastAsia" w:hAnsi="Times New Roman" w:cs="Times New Roman"/>
        </w:rPr>
        <w:t xml:space="preserve">Restaurants in wealthier neighborhoods perform poorly than those in low-income or middle-income areas. </w:t>
      </w:r>
    </w:p>
    <w:p w14:paraId="0C5A3A53" w14:textId="7399F246" w:rsidR="000E0F21" w:rsidRPr="00D16512" w:rsidRDefault="000E0F21" w:rsidP="0016380F">
      <w:pPr>
        <w:spacing w:line="480" w:lineRule="auto"/>
        <w:ind w:left="720" w:firstLine="720"/>
        <w:rPr>
          <w:rFonts w:ascii="Times New Roman" w:hAnsi="Times New Roman" w:cs="Times New Roman"/>
          <w:b/>
          <w:bCs/>
        </w:rPr>
      </w:pPr>
      <w:r w:rsidRPr="00D16512">
        <w:rPr>
          <w:rFonts w:ascii="Times New Roman" w:hAnsi="Times New Roman" w:cs="Times New Roman"/>
          <w:noProof/>
        </w:rPr>
        <w:drawing>
          <wp:inline distT="0" distB="0" distL="0" distR="0" wp14:anchorId="73F05C77" wp14:editId="7BBAE818">
            <wp:extent cx="4572000" cy="2743200"/>
            <wp:effectExtent l="0" t="0" r="0" b="0"/>
            <wp:docPr id="1593998656" name="Chart 1">
              <a:extLst xmlns:a="http://schemas.openxmlformats.org/drawingml/2006/main">
                <a:ext uri="{FF2B5EF4-FFF2-40B4-BE49-F238E27FC236}">
                  <a16:creationId xmlns:a16="http://schemas.microsoft.com/office/drawing/2014/main" id="{2EF6FC1C-AEA2-6A89-11B0-96E4E672B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126DF1" w14:textId="541F58DC" w:rsidR="004B555E" w:rsidRPr="00D16512" w:rsidRDefault="004B555E" w:rsidP="0016380F">
      <w:pPr>
        <w:spacing w:line="480" w:lineRule="auto"/>
        <w:ind w:firstLine="720"/>
        <w:rPr>
          <w:rFonts w:ascii="Times New Roman" w:hAnsi="Times New Roman" w:cs="Times New Roman"/>
        </w:rPr>
      </w:pPr>
      <w:r w:rsidRPr="00D16512">
        <w:rPr>
          <w:rFonts w:ascii="Times New Roman" w:hAnsi="Times New Roman" w:cs="Times New Roman"/>
        </w:rPr>
        <w:t xml:space="preserve">The scatter plot below displays the relationship between </w:t>
      </w:r>
      <w:proofErr w:type="spellStart"/>
      <w:r w:rsidRPr="00D16512">
        <w:rPr>
          <w:rFonts w:ascii="Times New Roman" w:hAnsi="Times New Roman" w:cs="Times New Roman"/>
        </w:rPr>
        <w:t>MedAge</w:t>
      </w:r>
      <w:proofErr w:type="spellEnd"/>
      <w:r w:rsidRPr="00D16512">
        <w:rPr>
          <w:rFonts w:ascii="Times New Roman" w:hAnsi="Times New Roman" w:cs="Times New Roman"/>
        </w:rPr>
        <w:t xml:space="preserve"> and Sales/</w:t>
      </w:r>
      <w:proofErr w:type="spellStart"/>
      <w:r w:rsidRPr="00D16512">
        <w:rPr>
          <w:rFonts w:ascii="Times New Roman" w:hAnsi="Times New Roman" w:cs="Times New Roman"/>
        </w:rPr>
        <w:t>SqFt</w:t>
      </w:r>
      <w:proofErr w:type="spellEnd"/>
      <w:r w:rsidRPr="00D16512">
        <w:rPr>
          <w:rFonts w:ascii="Times New Roman" w:hAnsi="Times New Roman" w:cs="Times New Roman"/>
        </w:rPr>
        <w:t xml:space="preserve">. The equation is </w:t>
      </w:r>
      <m:oMath>
        <m:r>
          <w:rPr>
            <w:rFonts w:ascii="Cambria Math" w:hAnsi="Cambria Math" w:cs="Times New Roman"/>
          </w:rPr>
          <m:t>y=-0.0016x+35.871</m:t>
        </m:r>
      </m:oMath>
      <w:r w:rsidR="00E20B16" w:rsidRPr="00D16512">
        <w:rPr>
          <w:rFonts w:ascii="Times New Roman" w:eastAsiaTheme="minorEastAsia" w:hAnsi="Times New Roman" w:cs="Times New Roman"/>
        </w:rPr>
        <w:t>.</w:t>
      </w:r>
      <w:r w:rsidRPr="00D16512">
        <w:rPr>
          <w:rFonts w:ascii="Times New Roman" w:hAnsi="Times New Roman" w:cs="Times New Roman"/>
        </w:rPr>
        <w:t xml:space="preserve"> The slope of the equation is -0.0016x, and this confirms there is a negative correlation between the two variables. </w:t>
      </w:r>
      <w:r w:rsidR="00E20B16" w:rsidRPr="00D16512">
        <w:rPr>
          <w:rFonts w:ascii="Times New Roman" w:hAnsi="Times New Roman" w:cs="Times New Roman"/>
        </w:rPr>
        <w:t xml:space="preserve">As the median age increases, the sales </w:t>
      </w:r>
      <w:r w:rsidR="00E20B16" w:rsidRPr="00D16512">
        <w:rPr>
          <w:rFonts w:ascii="Times New Roman" w:hAnsi="Times New Roman" w:cs="Times New Roman"/>
        </w:rPr>
        <w:lastRenderedPageBreak/>
        <w:t>tend to decrease. Restaurants in areas with young neighborhoods make more sales/</w:t>
      </w:r>
      <w:proofErr w:type="spellStart"/>
      <w:r w:rsidR="00E20B16" w:rsidRPr="00D16512">
        <w:rPr>
          <w:rFonts w:ascii="Times New Roman" w:hAnsi="Times New Roman" w:cs="Times New Roman"/>
        </w:rPr>
        <w:t>SqFt</w:t>
      </w:r>
      <w:proofErr w:type="spellEnd"/>
      <w:r w:rsidR="00E20B16" w:rsidRPr="00D16512">
        <w:rPr>
          <w:rFonts w:ascii="Times New Roman" w:hAnsi="Times New Roman" w:cs="Times New Roman"/>
        </w:rPr>
        <w:t xml:space="preserve"> compared to those in </w:t>
      </w:r>
      <w:r w:rsidR="0027140B">
        <w:rPr>
          <w:rFonts w:ascii="Times New Roman" w:hAnsi="Times New Roman" w:cs="Times New Roman"/>
        </w:rPr>
        <w:t>o</w:t>
      </w:r>
      <w:r w:rsidR="00E20B16" w:rsidRPr="00D16512">
        <w:rPr>
          <w:rFonts w:ascii="Times New Roman" w:hAnsi="Times New Roman" w:cs="Times New Roman"/>
        </w:rPr>
        <w:t xml:space="preserve">lder neighborhoods. </w:t>
      </w:r>
    </w:p>
    <w:p w14:paraId="4E89BF40" w14:textId="53AF7EB5" w:rsidR="00E20B16" w:rsidRPr="00D16512" w:rsidRDefault="00E20B16" w:rsidP="0016380F">
      <w:pPr>
        <w:spacing w:line="480" w:lineRule="auto"/>
        <w:ind w:left="720" w:firstLine="720"/>
        <w:rPr>
          <w:rFonts w:ascii="Times New Roman" w:eastAsiaTheme="minorEastAsia" w:hAnsi="Times New Roman" w:cs="Times New Roman"/>
        </w:rPr>
      </w:pPr>
      <w:r w:rsidRPr="00D16512">
        <w:rPr>
          <w:rFonts w:ascii="Times New Roman" w:hAnsi="Times New Roman" w:cs="Times New Roman"/>
          <w:noProof/>
        </w:rPr>
        <w:drawing>
          <wp:inline distT="0" distB="0" distL="0" distR="0" wp14:anchorId="0E9CBE66" wp14:editId="2E40FDF6">
            <wp:extent cx="4572000" cy="2743200"/>
            <wp:effectExtent l="0" t="0" r="0" b="0"/>
            <wp:docPr id="14293498" name="Chart 1">
              <a:extLst xmlns:a="http://schemas.openxmlformats.org/drawingml/2006/main">
                <a:ext uri="{FF2B5EF4-FFF2-40B4-BE49-F238E27FC236}">
                  <a16:creationId xmlns:a16="http://schemas.microsoft.com/office/drawing/2014/main" id="{674798B5-41CE-84B8-4459-A009DF374F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2033E9" w14:textId="30F56189" w:rsidR="007D62AB" w:rsidRPr="00D16512" w:rsidRDefault="00E20B16" w:rsidP="0016380F">
      <w:pPr>
        <w:spacing w:line="480" w:lineRule="auto"/>
        <w:ind w:firstLine="720"/>
        <w:rPr>
          <w:rFonts w:ascii="Times New Roman" w:eastAsiaTheme="minorEastAsia" w:hAnsi="Times New Roman" w:cs="Times New Roman"/>
        </w:rPr>
      </w:pPr>
      <w:r w:rsidRPr="00D16512">
        <w:rPr>
          <w:rFonts w:ascii="Times New Roman" w:eastAsiaTheme="minorEastAsia" w:hAnsi="Times New Roman" w:cs="Times New Roman"/>
        </w:rPr>
        <w:t xml:space="preserve">The figure below is a scatter plot displaying the relationship between </w:t>
      </w:r>
      <w:r w:rsidR="007D62AB" w:rsidRPr="00D16512">
        <w:rPr>
          <w:rFonts w:ascii="Times New Roman" w:eastAsiaTheme="minorEastAsia" w:hAnsi="Times New Roman" w:cs="Times New Roman"/>
        </w:rPr>
        <w:t xml:space="preserve">Sales growth % and Loyalty cards %. The equation is </w:t>
      </w:r>
      <m:oMath>
        <m:r>
          <w:rPr>
            <w:rFonts w:ascii="Cambria Math" w:eastAsiaTheme="minorEastAsia" w:hAnsi="Cambria Math" w:cs="Times New Roman"/>
          </w:rPr>
          <m:t>y=-0.0247x+2.21</m:t>
        </m:r>
      </m:oMath>
      <w:r w:rsidR="007D62AB" w:rsidRPr="00D16512">
        <w:rPr>
          <w:rFonts w:ascii="Times New Roman" w:hAnsi="Times New Roman" w:cs="Times New Roman"/>
        </w:rPr>
        <w:t xml:space="preserve">. Since the slope of the equation is negative, it can be concluded that there is a negative relationship between loyalty card % and sales growth. Presence of higher loyalty card growth has resulted in to decrease in sales growth. </w:t>
      </w:r>
    </w:p>
    <w:p w14:paraId="07F56E23" w14:textId="58B79D11" w:rsidR="007D62AB" w:rsidRPr="00D16512" w:rsidRDefault="007D62AB" w:rsidP="0016380F">
      <w:pPr>
        <w:spacing w:line="480" w:lineRule="auto"/>
        <w:ind w:left="720" w:firstLine="720"/>
        <w:rPr>
          <w:rFonts w:ascii="Times New Roman" w:eastAsiaTheme="minorEastAsia" w:hAnsi="Times New Roman" w:cs="Times New Roman"/>
        </w:rPr>
      </w:pPr>
      <w:r w:rsidRPr="00D16512">
        <w:rPr>
          <w:rFonts w:ascii="Times New Roman" w:hAnsi="Times New Roman" w:cs="Times New Roman"/>
          <w:noProof/>
        </w:rPr>
        <w:drawing>
          <wp:inline distT="0" distB="0" distL="0" distR="0" wp14:anchorId="171186FF" wp14:editId="167494BE">
            <wp:extent cx="4572000" cy="2743200"/>
            <wp:effectExtent l="0" t="0" r="0" b="0"/>
            <wp:docPr id="1438162943" name="Chart 1">
              <a:extLst xmlns:a="http://schemas.openxmlformats.org/drawingml/2006/main">
                <a:ext uri="{FF2B5EF4-FFF2-40B4-BE49-F238E27FC236}">
                  <a16:creationId xmlns:a16="http://schemas.microsoft.com/office/drawing/2014/main" id="{E3B948A8-69B5-ABA4-610A-D23D353AC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38373E" w14:textId="6A79E101" w:rsidR="00E20B16" w:rsidRPr="00D16512" w:rsidRDefault="00F60308" w:rsidP="0016380F">
      <w:pPr>
        <w:spacing w:line="480" w:lineRule="auto"/>
        <w:rPr>
          <w:rFonts w:ascii="Times New Roman" w:eastAsiaTheme="minorEastAsia" w:hAnsi="Times New Roman" w:cs="Times New Roman"/>
          <w:b/>
          <w:bCs/>
        </w:rPr>
      </w:pPr>
      <w:r w:rsidRPr="00D16512">
        <w:rPr>
          <w:rFonts w:ascii="Times New Roman" w:eastAsiaTheme="minorEastAsia" w:hAnsi="Times New Roman" w:cs="Times New Roman"/>
          <w:b/>
          <w:bCs/>
        </w:rPr>
        <w:lastRenderedPageBreak/>
        <w:br/>
        <w:t>Section 3: Recommendations and Implementation</w:t>
      </w:r>
    </w:p>
    <w:p w14:paraId="2CB5F13F" w14:textId="1E5E9E72" w:rsidR="00D16512" w:rsidRPr="00D16512" w:rsidRDefault="00D16512" w:rsidP="0016380F">
      <w:pPr>
        <w:spacing w:line="480" w:lineRule="auto"/>
        <w:jc w:val="center"/>
        <w:rPr>
          <w:rFonts w:ascii="Times New Roman" w:eastAsiaTheme="minorEastAsia" w:hAnsi="Times New Roman" w:cs="Times New Roman"/>
          <w:b/>
          <w:bCs/>
        </w:rPr>
      </w:pPr>
      <w:r w:rsidRPr="00D16512">
        <w:rPr>
          <w:rFonts w:ascii="Times New Roman" w:eastAsiaTheme="minorEastAsia" w:hAnsi="Times New Roman" w:cs="Times New Roman"/>
          <w:b/>
          <w:bCs/>
        </w:rPr>
        <w:t>Effective Expansion Criteria</w:t>
      </w:r>
    </w:p>
    <w:p w14:paraId="0C90032F" w14:textId="2BFC7E86" w:rsidR="001A565F" w:rsidRPr="00D16512" w:rsidRDefault="00D31177" w:rsidP="0016380F">
      <w:pPr>
        <w:spacing w:line="480" w:lineRule="auto"/>
        <w:ind w:firstLine="720"/>
        <w:rPr>
          <w:rFonts w:ascii="Times New Roman" w:eastAsiaTheme="minorEastAsia" w:hAnsi="Times New Roman" w:cs="Times New Roman"/>
        </w:rPr>
      </w:pPr>
      <w:r w:rsidRPr="00D16512">
        <w:rPr>
          <w:rFonts w:ascii="Times New Roman" w:eastAsiaTheme="minorEastAsia" w:hAnsi="Times New Roman" w:cs="Times New Roman"/>
        </w:rPr>
        <w:t>Based on the analysis above, it can be concluded that, percentage of adults with a bachelor's degree is positively correlated with sales/</w:t>
      </w:r>
      <w:proofErr w:type="spellStart"/>
      <w:r w:rsidRPr="00D16512">
        <w:rPr>
          <w:rFonts w:ascii="Times New Roman" w:eastAsiaTheme="minorEastAsia" w:hAnsi="Times New Roman" w:cs="Times New Roman"/>
        </w:rPr>
        <w:t>SqFt</w:t>
      </w:r>
      <w:proofErr w:type="spellEnd"/>
      <w:r w:rsidRPr="00D16512">
        <w:rPr>
          <w:rFonts w:ascii="Times New Roman" w:eastAsiaTheme="minorEastAsia" w:hAnsi="Times New Roman" w:cs="Times New Roman"/>
        </w:rPr>
        <w:t>. Therefore, this is an effective expansion criterion. Median household income and median age are negatively correlated with sales/</w:t>
      </w:r>
      <w:proofErr w:type="spellStart"/>
      <w:r w:rsidRPr="00D16512">
        <w:rPr>
          <w:rFonts w:ascii="Times New Roman" w:eastAsiaTheme="minorEastAsia" w:hAnsi="Times New Roman" w:cs="Times New Roman"/>
        </w:rPr>
        <w:t>SqF</w:t>
      </w:r>
      <w:r w:rsidR="00F022A1" w:rsidRPr="00D16512">
        <w:rPr>
          <w:rFonts w:ascii="Times New Roman" w:eastAsiaTheme="minorEastAsia" w:hAnsi="Times New Roman" w:cs="Times New Roman"/>
        </w:rPr>
        <w:t>t</w:t>
      </w:r>
      <w:proofErr w:type="spellEnd"/>
      <w:r w:rsidR="00F022A1" w:rsidRPr="00D16512">
        <w:rPr>
          <w:rFonts w:ascii="Times New Roman" w:eastAsiaTheme="minorEastAsia" w:hAnsi="Times New Roman" w:cs="Times New Roman"/>
        </w:rPr>
        <w:t xml:space="preserve">. The expansion criteria for median household income and median age </w:t>
      </w:r>
      <w:r w:rsidR="00473160" w:rsidRPr="00D16512">
        <w:rPr>
          <w:rFonts w:ascii="Times New Roman" w:eastAsiaTheme="minorEastAsia" w:hAnsi="Times New Roman" w:cs="Times New Roman"/>
        </w:rPr>
        <w:t>should</w:t>
      </w:r>
      <w:r w:rsidR="00F022A1" w:rsidRPr="00D16512">
        <w:rPr>
          <w:rFonts w:ascii="Times New Roman" w:eastAsiaTheme="minorEastAsia" w:hAnsi="Times New Roman" w:cs="Times New Roman"/>
        </w:rPr>
        <w:t xml:space="preserve"> be revised to increase sales</w:t>
      </w:r>
      <w:r w:rsidRPr="00D16512">
        <w:rPr>
          <w:rFonts w:ascii="Times New Roman" w:eastAsiaTheme="minorEastAsia" w:hAnsi="Times New Roman" w:cs="Times New Roman"/>
        </w:rPr>
        <w:t xml:space="preserve">. </w:t>
      </w:r>
      <w:r w:rsidR="00F022A1" w:rsidRPr="00D16512">
        <w:rPr>
          <w:rFonts w:ascii="Times New Roman" w:eastAsiaTheme="minorEastAsia" w:hAnsi="Times New Roman" w:cs="Times New Roman"/>
        </w:rPr>
        <w:t xml:space="preserve">The firm should focus on </w:t>
      </w:r>
      <w:r w:rsidR="00473160" w:rsidRPr="00D16512">
        <w:rPr>
          <w:rFonts w:ascii="Times New Roman" w:eastAsiaTheme="minorEastAsia" w:hAnsi="Times New Roman" w:cs="Times New Roman"/>
        </w:rPr>
        <w:t xml:space="preserve">areas with a </w:t>
      </w:r>
      <w:r w:rsidR="00F022A1" w:rsidRPr="00D16512">
        <w:rPr>
          <w:rFonts w:ascii="Times New Roman" w:eastAsiaTheme="minorEastAsia" w:hAnsi="Times New Roman" w:cs="Times New Roman"/>
        </w:rPr>
        <w:t>young</w:t>
      </w:r>
      <w:r w:rsidR="00473160" w:rsidRPr="00D16512">
        <w:rPr>
          <w:rFonts w:ascii="Times New Roman" w:eastAsiaTheme="minorEastAsia" w:hAnsi="Times New Roman" w:cs="Times New Roman"/>
        </w:rPr>
        <w:t>er population</w:t>
      </w:r>
      <w:r w:rsidR="00F022A1" w:rsidRPr="00D16512">
        <w:rPr>
          <w:rFonts w:ascii="Times New Roman" w:eastAsiaTheme="minorEastAsia" w:hAnsi="Times New Roman" w:cs="Times New Roman"/>
        </w:rPr>
        <w:t xml:space="preserve"> and middle</w:t>
      </w:r>
      <w:r w:rsidR="00473160" w:rsidRPr="00D16512">
        <w:rPr>
          <w:rFonts w:ascii="Times New Roman" w:eastAsiaTheme="minorEastAsia" w:hAnsi="Times New Roman" w:cs="Times New Roman"/>
        </w:rPr>
        <w:t>-</w:t>
      </w:r>
      <w:r w:rsidR="00F022A1" w:rsidRPr="00D16512">
        <w:rPr>
          <w:rFonts w:ascii="Times New Roman" w:eastAsiaTheme="minorEastAsia" w:hAnsi="Times New Roman" w:cs="Times New Roman"/>
        </w:rPr>
        <w:t xml:space="preserve"> or </w:t>
      </w:r>
      <w:r w:rsidR="00473160" w:rsidRPr="00D16512">
        <w:rPr>
          <w:rFonts w:ascii="Times New Roman" w:eastAsiaTheme="minorEastAsia" w:hAnsi="Times New Roman" w:cs="Times New Roman"/>
        </w:rPr>
        <w:t>lower-income individuals, as these neighborhood shows stronger sales performance.</w:t>
      </w:r>
      <w:r w:rsidR="00F60308" w:rsidRPr="00D16512">
        <w:rPr>
          <w:rFonts w:ascii="Times New Roman" w:eastAsiaTheme="minorEastAsia" w:hAnsi="Times New Roman" w:cs="Times New Roman"/>
        </w:rPr>
        <w:t xml:space="preserve"> </w:t>
      </w:r>
      <w:r w:rsidR="00473160" w:rsidRPr="00D16512">
        <w:rPr>
          <w:rFonts w:ascii="Times New Roman" w:eastAsiaTheme="minorEastAsia" w:hAnsi="Times New Roman" w:cs="Times New Roman"/>
        </w:rPr>
        <w:t xml:space="preserve">There is a negative correlation between sales growth and loyalty cards. Restaurants with higher loyalty card usage have slower sales growth. This marketing strategy should be redesigned or changed to increase sales. </w:t>
      </w:r>
    </w:p>
    <w:p w14:paraId="766CC951" w14:textId="5F65D3A2" w:rsidR="00D16512" w:rsidRPr="00D16512" w:rsidRDefault="00D16512" w:rsidP="0016380F">
      <w:pPr>
        <w:spacing w:line="480" w:lineRule="auto"/>
        <w:jc w:val="center"/>
        <w:rPr>
          <w:rFonts w:ascii="Times New Roman" w:eastAsiaTheme="minorEastAsia" w:hAnsi="Times New Roman" w:cs="Times New Roman"/>
          <w:b/>
          <w:bCs/>
        </w:rPr>
      </w:pPr>
      <w:r w:rsidRPr="00D16512">
        <w:rPr>
          <w:rFonts w:ascii="Times New Roman" w:eastAsiaTheme="minorEastAsia" w:hAnsi="Times New Roman" w:cs="Times New Roman"/>
          <w:b/>
          <w:bCs/>
        </w:rPr>
        <w:t>Recommendations to be Adopted</w:t>
      </w:r>
    </w:p>
    <w:p w14:paraId="6746C744" w14:textId="66C721C0" w:rsidR="00D31177" w:rsidRPr="00D16512" w:rsidRDefault="00473160" w:rsidP="0016380F">
      <w:pPr>
        <w:spacing w:line="480" w:lineRule="auto"/>
        <w:ind w:firstLine="720"/>
        <w:rPr>
          <w:rFonts w:ascii="Times New Roman" w:eastAsiaTheme="minorEastAsia" w:hAnsi="Times New Roman" w:cs="Times New Roman"/>
        </w:rPr>
      </w:pPr>
      <w:r w:rsidRPr="00D16512">
        <w:rPr>
          <w:rFonts w:ascii="Times New Roman" w:eastAsiaTheme="minorEastAsia" w:hAnsi="Times New Roman" w:cs="Times New Roman"/>
        </w:rPr>
        <w:t>Based on the insights of this analysis, Pastas R should focus on marketing on younger</w:t>
      </w:r>
      <w:r w:rsidR="001A565F" w:rsidRPr="00D16512">
        <w:rPr>
          <w:rFonts w:ascii="Times New Roman" w:eastAsiaTheme="minorEastAsia" w:hAnsi="Times New Roman" w:cs="Times New Roman"/>
        </w:rPr>
        <w:t>,</w:t>
      </w:r>
      <w:r w:rsidRPr="00D16512">
        <w:rPr>
          <w:rFonts w:ascii="Times New Roman" w:eastAsiaTheme="minorEastAsia" w:hAnsi="Times New Roman" w:cs="Times New Roman"/>
        </w:rPr>
        <w:t xml:space="preserve"> educated adults with middle or lower incomes. </w:t>
      </w:r>
      <w:r w:rsidR="001A565F" w:rsidRPr="00D16512">
        <w:rPr>
          <w:rFonts w:ascii="Times New Roman" w:eastAsiaTheme="minorEastAsia" w:hAnsi="Times New Roman" w:cs="Times New Roman"/>
        </w:rPr>
        <w:t>This group will generate higher sales for the firm. To measure the success of the recommendation above, the company should collect data on customer demographics</w:t>
      </w:r>
      <w:r w:rsidR="00F60308" w:rsidRPr="00D16512">
        <w:rPr>
          <w:rFonts w:ascii="Times New Roman" w:eastAsiaTheme="minorEastAsia" w:hAnsi="Times New Roman" w:cs="Times New Roman"/>
        </w:rPr>
        <w:t xml:space="preserve"> and sales.</w:t>
      </w:r>
      <w:r w:rsidR="001A565F" w:rsidRPr="00D16512">
        <w:rPr>
          <w:rFonts w:ascii="Times New Roman" w:eastAsiaTheme="minorEastAsia" w:hAnsi="Times New Roman" w:cs="Times New Roman"/>
        </w:rPr>
        <w:t xml:space="preserve"> Customer demographics data should focus on age, education, and income levels. </w:t>
      </w:r>
      <w:r w:rsidR="00F60308" w:rsidRPr="00D16512">
        <w:rPr>
          <w:rFonts w:ascii="Times New Roman" w:eastAsiaTheme="minorEastAsia" w:hAnsi="Times New Roman" w:cs="Times New Roman"/>
        </w:rPr>
        <w:t xml:space="preserve">The customer demographics data can be analyzed to determine what influence they have on sales. </w:t>
      </w:r>
    </w:p>
    <w:p w14:paraId="5E9C78E7" w14:textId="77777777" w:rsidR="00F60308" w:rsidRDefault="00F60308" w:rsidP="0016380F">
      <w:pPr>
        <w:spacing w:line="480" w:lineRule="auto"/>
        <w:rPr>
          <w:rFonts w:ascii="Times New Roman" w:hAnsi="Times New Roman" w:cs="Times New Roman"/>
          <w:b/>
          <w:bCs/>
        </w:rPr>
      </w:pPr>
    </w:p>
    <w:p w14:paraId="3EF01507" w14:textId="77777777" w:rsidR="0016380F" w:rsidRPr="00D16512" w:rsidRDefault="0016380F" w:rsidP="0016380F">
      <w:pPr>
        <w:spacing w:line="480" w:lineRule="auto"/>
        <w:rPr>
          <w:rFonts w:ascii="Times New Roman" w:hAnsi="Times New Roman" w:cs="Times New Roman"/>
          <w:b/>
          <w:bCs/>
        </w:rPr>
      </w:pPr>
    </w:p>
    <w:p w14:paraId="5BEB7593" w14:textId="33D7306D" w:rsidR="00637188" w:rsidRPr="00D16512" w:rsidRDefault="00637188" w:rsidP="0016380F">
      <w:pPr>
        <w:spacing w:line="480" w:lineRule="auto"/>
        <w:jc w:val="center"/>
        <w:rPr>
          <w:rFonts w:ascii="Times New Roman" w:hAnsi="Times New Roman" w:cs="Times New Roman"/>
          <w:b/>
          <w:bCs/>
        </w:rPr>
      </w:pPr>
      <w:r w:rsidRPr="00D16512">
        <w:rPr>
          <w:rFonts w:ascii="Times New Roman" w:hAnsi="Times New Roman" w:cs="Times New Roman"/>
          <w:b/>
          <w:bCs/>
        </w:rPr>
        <w:lastRenderedPageBreak/>
        <w:t>References</w:t>
      </w:r>
    </w:p>
    <w:p w14:paraId="3F13F6DF" w14:textId="2562FF0E" w:rsidR="00637188" w:rsidRPr="00D16512" w:rsidRDefault="00637188" w:rsidP="0016380F">
      <w:pPr>
        <w:spacing w:line="480" w:lineRule="auto"/>
        <w:rPr>
          <w:rFonts w:ascii="Times New Roman" w:hAnsi="Times New Roman" w:cs="Times New Roman"/>
        </w:rPr>
      </w:pPr>
      <w:r w:rsidRPr="00D16512">
        <w:rPr>
          <w:rFonts w:ascii="Times New Roman" w:hAnsi="Times New Roman" w:cs="Times New Roman"/>
        </w:rPr>
        <w:t xml:space="preserve">Bobbitt, </w:t>
      </w:r>
      <w:r w:rsidRPr="00D16512">
        <w:rPr>
          <w:rFonts w:ascii="Times New Roman" w:hAnsi="Times New Roman" w:cs="Times New Roman"/>
        </w:rPr>
        <w:t>Z. (</w:t>
      </w:r>
      <w:r w:rsidRPr="00D16512">
        <w:rPr>
          <w:rFonts w:ascii="Times New Roman" w:hAnsi="Times New Roman" w:cs="Times New Roman"/>
        </w:rPr>
        <w:t>2021</w:t>
      </w:r>
      <w:r w:rsidRPr="00D16512">
        <w:rPr>
          <w:rFonts w:ascii="Times New Roman" w:hAnsi="Times New Roman" w:cs="Times New Roman"/>
        </w:rPr>
        <w:t xml:space="preserve">). </w:t>
      </w:r>
      <w:r w:rsidRPr="00D16512">
        <w:rPr>
          <w:rFonts w:ascii="Times New Roman" w:hAnsi="Times New Roman" w:cs="Times New Roman"/>
        </w:rPr>
        <w:t>Interquartile Range vs. Standard Deviation: What’s the Difference?</w:t>
      </w:r>
    </w:p>
    <w:p w14:paraId="542C5475" w14:textId="6078D35F" w:rsidR="00637188" w:rsidRPr="00D16512" w:rsidRDefault="00637188" w:rsidP="0016380F">
      <w:pPr>
        <w:spacing w:line="480" w:lineRule="auto"/>
        <w:rPr>
          <w:rFonts w:ascii="Times New Roman" w:hAnsi="Times New Roman" w:cs="Times New Roman"/>
        </w:rPr>
      </w:pPr>
      <w:r w:rsidRPr="00D16512">
        <w:rPr>
          <w:rFonts w:ascii="Times New Roman" w:hAnsi="Times New Roman" w:cs="Times New Roman"/>
        </w:rPr>
        <w:tab/>
      </w:r>
      <w:hyperlink r:id="rId14" w:history="1">
        <w:r w:rsidRPr="00D16512">
          <w:rPr>
            <w:rStyle w:val="Hyperlink"/>
            <w:rFonts w:ascii="Times New Roman" w:hAnsi="Times New Roman" w:cs="Times New Roman"/>
          </w:rPr>
          <w:t>https://www.statology.org/interquartile-range-vs-standard-deviation/</w:t>
        </w:r>
      </w:hyperlink>
    </w:p>
    <w:p w14:paraId="3D5764BB" w14:textId="77777777" w:rsidR="00637188" w:rsidRPr="00D16512" w:rsidRDefault="00637188" w:rsidP="0016380F">
      <w:pPr>
        <w:spacing w:line="480" w:lineRule="auto"/>
        <w:rPr>
          <w:rFonts w:ascii="Times New Roman" w:hAnsi="Times New Roman" w:cs="Times New Roman"/>
        </w:rPr>
      </w:pPr>
      <w:r w:rsidRPr="00D16512">
        <w:rPr>
          <w:rFonts w:ascii="Times New Roman" w:hAnsi="Times New Roman" w:cs="Times New Roman"/>
        </w:rPr>
        <w:t>The Pennsylvania State University</w:t>
      </w:r>
      <w:r w:rsidRPr="00D16512">
        <w:rPr>
          <w:rFonts w:ascii="Times New Roman" w:hAnsi="Times New Roman" w:cs="Times New Roman"/>
        </w:rPr>
        <w:t>.</w:t>
      </w:r>
      <w:r w:rsidRPr="00D16512">
        <w:rPr>
          <w:rFonts w:ascii="Times New Roman" w:hAnsi="Times New Roman" w:cs="Times New Roman"/>
        </w:rPr>
        <w:t xml:space="preserve"> </w:t>
      </w:r>
      <w:r w:rsidRPr="00D16512">
        <w:rPr>
          <w:rFonts w:ascii="Times New Roman" w:hAnsi="Times New Roman" w:cs="Times New Roman"/>
        </w:rPr>
        <w:t>(</w:t>
      </w:r>
      <w:r w:rsidRPr="00D16512">
        <w:rPr>
          <w:rFonts w:ascii="Times New Roman" w:hAnsi="Times New Roman" w:cs="Times New Roman"/>
        </w:rPr>
        <w:t>2025).</w:t>
      </w:r>
      <w:r w:rsidRPr="00D16512">
        <w:rPr>
          <w:rFonts w:ascii="Times New Roman" w:hAnsi="Times New Roman" w:cs="Times New Roman"/>
        </w:rPr>
        <w:t xml:space="preserve"> </w:t>
      </w:r>
      <w:r w:rsidRPr="00D16512">
        <w:rPr>
          <w:rFonts w:ascii="Times New Roman" w:hAnsi="Times New Roman" w:cs="Times New Roman"/>
        </w:rPr>
        <w:t>2.2.4.1 - Skewness &amp; Central Tendency</w:t>
      </w:r>
    </w:p>
    <w:p w14:paraId="55A755D6" w14:textId="51DFC5FF" w:rsidR="00637188" w:rsidRPr="00D16512" w:rsidRDefault="00637188" w:rsidP="0016380F">
      <w:pPr>
        <w:spacing w:line="480" w:lineRule="auto"/>
        <w:rPr>
          <w:rFonts w:ascii="Times New Roman" w:hAnsi="Times New Roman" w:cs="Times New Roman"/>
        </w:rPr>
      </w:pPr>
      <w:r w:rsidRPr="00D16512">
        <w:rPr>
          <w:rFonts w:ascii="Times New Roman" w:hAnsi="Times New Roman" w:cs="Times New Roman"/>
        </w:rPr>
        <w:tab/>
      </w:r>
      <w:hyperlink r:id="rId15" w:history="1">
        <w:r w:rsidRPr="00D16512">
          <w:rPr>
            <w:rStyle w:val="Hyperlink"/>
            <w:rFonts w:ascii="Times New Roman" w:hAnsi="Times New Roman" w:cs="Times New Roman"/>
          </w:rPr>
          <w:t>https://online.stat.psu.edu/stat200/lesson/2/2.2/2.2.4/2.2.4.1</w:t>
        </w:r>
      </w:hyperlink>
    </w:p>
    <w:p w14:paraId="0AE70DD8" w14:textId="77777777" w:rsidR="00637188" w:rsidRPr="00D16512" w:rsidRDefault="00637188" w:rsidP="0016380F">
      <w:pPr>
        <w:spacing w:line="480" w:lineRule="auto"/>
        <w:rPr>
          <w:rFonts w:ascii="Times New Roman" w:hAnsi="Times New Roman" w:cs="Times New Roman"/>
        </w:rPr>
      </w:pPr>
    </w:p>
    <w:p w14:paraId="6074DADF" w14:textId="77777777" w:rsidR="00D16512" w:rsidRPr="00D16512" w:rsidRDefault="00D16512" w:rsidP="0016380F">
      <w:pPr>
        <w:spacing w:line="480" w:lineRule="auto"/>
        <w:rPr>
          <w:rFonts w:ascii="Times New Roman" w:hAnsi="Times New Roman" w:cs="Times New Roman"/>
        </w:rPr>
      </w:pPr>
    </w:p>
    <w:sectPr w:rsidR="00D16512" w:rsidRPr="00D1651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B8A1A" w14:textId="77777777" w:rsidR="00474E50" w:rsidRDefault="00474E50" w:rsidP="0016380F">
      <w:pPr>
        <w:spacing w:after="0" w:line="240" w:lineRule="auto"/>
      </w:pPr>
      <w:r>
        <w:separator/>
      </w:r>
    </w:p>
  </w:endnote>
  <w:endnote w:type="continuationSeparator" w:id="0">
    <w:p w14:paraId="37B8EB04" w14:textId="77777777" w:rsidR="00474E50" w:rsidRDefault="00474E50" w:rsidP="00163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B1A83" w14:textId="77777777" w:rsidR="00474E50" w:rsidRDefault="00474E50" w:rsidP="0016380F">
      <w:pPr>
        <w:spacing w:after="0" w:line="240" w:lineRule="auto"/>
      </w:pPr>
      <w:r>
        <w:separator/>
      </w:r>
    </w:p>
  </w:footnote>
  <w:footnote w:type="continuationSeparator" w:id="0">
    <w:p w14:paraId="30FCE821" w14:textId="77777777" w:rsidR="00474E50" w:rsidRDefault="00474E50" w:rsidP="00163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876193"/>
      <w:docPartObj>
        <w:docPartGallery w:val="Page Numbers (Top of Page)"/>
        <w:docPartUnique/>
      </w:docPartObj>
    </w:sdtPr>
    <w:sdtEndPr>
      <w:rPr>
        <w:noProof/>
      </w:rPr>
    </w:sdtEndPr>
    <w:sdtContent>
      <w:p w14:paraId="4F341E7F" w14:textId="4085EDBB" w:rsidR="0016380F" w:rsidRDefault="001638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1B03A9" w14:textId="77777777" w:rsidR="0016380F" w:rsidRDefault="001638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19"/>
    <w:rsid w:val="000E0F21"/>
    <w:rsid w:val="0016380F"/>
    <w:rsid w:val="001A565F"/>
    <w:rsid w:val="00221BE1"/>
    <w:rsid w:val="0027140B"/>
    <w:rsid w:val="00311966"/>
    <w:rsid w:val="003424AA"/>
    <w:rsid w:val="00473160"/>
    <w:rsid w:val="00474E50"/>
    <w:rsid w:val="004B555E"/>
    <w:rsid w:val="00637188"/>
    <w:rsid w:val="0067436F"/>
    <w:rsid w:val="007D62AB"/>
    <w:rsid w:val="008C7454"/>
    <w:rsid w:val="00A5408B"/>
    <w:rsid w:val="00AE55B6"/>
    <w:rsid w:val="00BF51D4"/>
    <w:rsid w:val="00C04812"/>
    <w:rsid w:val="00C04B19"/>
    <w:rsid w:val="00D16512"/>
    <w:rsid w:val="00D1791C"/>
    <w:rsid w:val="00D31177"/>
    <w:rsid w:val="00D92E06"/>
    <w:rsid w:val="00E20B16"/>
    <w:rsid w:val="00E259D8"/>
    <w:rsid w:val="00E423E5"/>
    <w:rsid w:val="00E4292D"/>
    <w:rsid w:val="00F022A1"/>
    <w:rsid w:val="00F6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3B8AF"/>
  <w15:chartTrackingRefBased/>
  <w15:docId w15:val="{C1AB6CF0-D256-405C-A258-689E3025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4B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4B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4B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4B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4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4B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4B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4B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4B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4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B19"/>
    <w:rPr>
      <w:rFonts w:eastAsiaTheme="majorEastAsia" w:cstheme="majorBidi"/>
      <w:color w:val="272727" w:themeColor="text1" w:themeTint="D8"/>
    </w:rPr>
  </w:style>
  <w:style w:type="paragraph" w:styleId="Title">
    <w:name w:val="Title"/>
    <w:basedOn w:val="Normal"/>
    <w:next w:val="Normal"/>
    <w:link w:val="TitleChar"/>
    <w:uiPriority w:val="10"/>
    <w:qFormat/>
    <w:rsid w:val="00C04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B19"/>
    <w:pPr>
      <w:spacing w:before="160"/>
      <w:jc w:val="center"/>
    </w:pPr>
    <w:rPr>
      <w:i/>
      <w:iCs/>
      <w:color w:val="404040" w:themeColor="text1" w:themeTint="BF"/>
    </w:rPr>
  </w:style>
  <w:style w:type="character" w:customStyle="1" w:styleId="QuoteChar">
    <w:name w:val="Quote Char"/>
    <w:basedOn w:val="DefaultParagraphFont"/>
    <w:link w:val="Quote"/>
    <w:uiPriority w:val="29"/>
    <w:rsid w:val="00C04B19"/>
    <w:rPr>
      <w:i/>
      <w:iCs/>
      <w:color w:val="404040" w:themeColor="text1" w:themeTint="BF"/>
    </w:rPr>
  </w:style>
  <w:style w:type="paragraph" w:styleId="ListParagraph">
    <w:name w:val="List Paragraph"/>
    <w:basedOn w:val="Normal"/>
    <w:uiPriority w:val="34"/>
    <w:qFormat/>
    <w:rsid w:val="00C04B19"/>
    <w:pPr>
      <w:ind w:left="720"/>
      <w:contextualSpacing/>
    </w:pPr>
  </w:style>
  <w:style w:type="character" w:styleId="IntenseEmphasis">
    <w:name w:val="Intense Emphasis"/>
    <w:basedOn w:val="DefaultParagraphFont"/>
    <w:uiPriority w:val="21"/>
    <w:qFormat/>
    <w:rsid w:val="00C04B19"/>
    <w:rPr>
      <w:i/>
      <w:iCs/>
      <w:color w:val="2F5496" w:themeColor="accent1" w:themeShade="BF"/>
    </w:rPr>
  </w:style>
  <w:style w:type="paragraph" w:styleId="IntenseQuote">
    <w:name w:val="Intense Quote"/>
    <w:basedOn w:val="Normal"/>
    <w:next w:val="Normal"/>
    <w:link w:val="IntenseQuoteChar"/>
    <w:uiPriority w:val="30"/>
    <w:qFormat/>
    <w:rsid w:val="00C04B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B19"/>
    <w:rPr>
      <w:i/>
      <w:iCs/>
      <w:color w:val="2F5496" w:themeColor="accent1" w:themeShade="BF"/>
    </w:rPr>
  </w:style>
  <w:style w:type="character" w:styleId="IntenseReference">
    <w:name w:val="Intense Reference"/>
    <w:basedOn w:val="DefaultParagraphFont"/>
    <w:uiPriority w:val="32"/>
    <w:qFormat/>
    <w:rsid w:val="00C04B19"/>
    <w:rPr>
      <w:b/>
      <w:bCs/>
      <w:smallCaps/>
      <w:color w:val="2F5496" w:themeColor="accent1" w:themeShade="BF"/>
      <w:spacing w:val="5"/>
    </w:rPr>
  </w:style>
  <w:style w:type="table" w:styleId="TableGridLight">
    <w:name w:val="Grid Table Light"/>
    <w:basedOn w:val="TableNormal"/>
    <w:uiPriority w:val="40"/>
    <w:rsid w:val="00674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4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423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37188"/>
    <w:rPr>
      <w:color w:val="0563C1" w:themeColor="hyperlink"/>
      <w:u w:val="single"/>
    </w:rPr>
  </w:style>
  <w:style w:type="character" w:styleId="UnresolvedMention">
    <w:name w:val="Unresolved Mention"/>
    <w:basedOn w:val="DefaultParagraphFont"/>
    <w:uiPriority w:val="99"/>
    <w:semiHidden/>
    <w:unhideWhenUsed/>
    <w:rsid w:val="00637188"/>
    <w:rPr>
      <w:color w:val="605E5C"/>
      <w:shd w:val="clear" w:color="auto" w:fill="E1DFDD"/>
    </w:rPr>
  </w:style>
  <w:style w:type="character" w:styleId="PlaceholderText">
    <w:name w:val="Placeholder Text"/>
    <w:basedOn w:val="DefaultParagraphFont"/>
    <w:uiPriority w:val="99"/>
    <w:semiHidden/>
    <w:rsid w:val="00E259D8"/>
    <w:rPr>
      <w:color w:val="666666"/>
    </w:rPr>
  </w:style>
  <w:style w:type="paragraph" w:styleId="NormalWeb">
    <w:name w:val="Normal (Web)"/>
    <w:basedOn w:val="Normal"/>
    <w:uiPriority w:val="99"/>
    <w:semiHidden/>
    <w:unhideWhenUsed/>
    <w:rsid w:val="007D62A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63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80F"/>
  </w:style>
  <w:style w:type="paragraph" w:styleId="Footer">
    <w:name w:val="footer"/>
    <w:basedOn w:val="Normal"/>
    <w:link w:val="FooterChar"/>
    <w:uiPriority w:val="99"/>
    <w:unhideWhenUsed/>
    <w:rsid w:val="00163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hyperlink" Target="https://online.stat.psu.edu/stat200/lesson/2/2.2/2.2.4/2.2.4.1" TargetMode="Externa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statology.org/interquartile-range-vs-standard-devia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wnloads\datcb565_v1_comp1_assessment_pastasrus.xlsx.xls"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wnloads\datcb565_v1_comp1_assessment_pastasrus.xlsx.xls"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wnloads\datcb565_v1_comp1_assessment_pastasrus.xlsx.xls"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wnloads\datcb565_v1_comp1_assessment_pastasrus.xlsx.xls"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ownloads\datcb565_v1_comp1_assessment_pastasrus.xlsx.xls"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istrator\Downloads\datcb565_v1_comp1_assessment_pastasrus.xlsx.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latin typeface="Times New Roman" panose="02020603050405020304" pitchFamily="18" charset="0"/>
                <a:cs typeface="Times New Roman" panose="02020603050405020304" pitchFamily="18" charset="0"/>
              </a:rPr>
              <a:t>BachDeg% Vs Sales/SqFt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Data!$I$1:$I$5</c:f>
              <c:strCache>
                <c:ptCount val="5"/>
                <c:pt idx="2">
                  <c:v>% w/ Bachelor's Degree (3 Miles)</c:v>
                </c:pt>
                <c:pt idx="4">
                  <c:v>BachDeg%</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Data!$F$6:$F$79</c:f>
              <c:numCache>
                <c:formatCode>#,##0.00_);\(#,##0.00\)</c:formatCode>
                <c:ptCount val="74"/>
                <c:pt idx="0">
                  <c:v>701.97</c:v>
                </c:pt>
                <c:pt idx="1">
                  <c:v>209.93</c:v>
                </c:pt>
                <c:pt idx="2">
                  <c:v>364.92</c:v>
                </c:pt>
                <c:pt idx="3">
                  <c:v>443.04</c:v>
                </c:pt>
                <c:pt idx="4">
                  <c:v>399.2</c:v>
                </c:pt>
                <c:pt idx="5">
                  <c:v>264.64</c:v>
                </c:pt>
                <c:pt idx="6">
                  <c:v>571.59</c:v>
                </c:pt>
                <c:pt idx="7">
                  <c:v>642.25</c:v>
                </c:pt>
                <c:pt idx="8">
                  <c:v>461.45</c:v>
                </c:pt>
                <c:pt idx="9">
                  <c:v>638.82000000000005</c:v>
                </c:pt>
                <c:pt idx="10">
                  <c:v>484.38</c:v>
                </c:pt>
                <c:pt idx="11">
                  <c:v>581.09</c:v>
                </c:pt>
                <c:pt idx="12">
                  <c:v>267.70999999999998</c:v>
                </c:pt>
                <c:pt idx="13">
                  <c:v>572.84</c:v>
                </c:pt>
                <c:pt idx="14">
                  <c:v>586.48</c:v>
                </c:pt>
                <c:pt idx="15">
                  <c:v>368.73</c:v>
                </c:pt>
                <c:pt idx="16">
                  <c:v>351.47</c:v>
                </c:pt>
                <c:pt idx="17">
                  <c:v>458.24</c:v>
                </c:pt>
                <c:pt idx="18">
                  <c:v>987.12</c:v>
                </c:pt>
                <c:pt idx="19">
                  <c:v>357.45</c:v>
                </c:pt>
                <c:pt idx="20">
                  <c:v>405.77</c:v>
                </c:pt>
                <c:pt idx="21">
                  <c:v>680.8</c:v>
                </c:pt>
                <c:pt idx="22">
                  <c:v>368.02</c:v>
                </c:pt>
                <c:pt idx="23">
                  <c:v>303.95</c:v>
                </c:pt>
                <c:pt idx="24">
                  <c:v>393.9</c:v>
                </c:pt>
                <c:pt idx="25">
                  <c:v>562.12</c:v>
                </c:pt>
                <c:pt idx="26">
                  <c:v>494.88</c:v>
                </c:pt>
                <c:pt idx="27">
                  <c:v>310.07</c:v>
                </c:pt>
                <c:pt idx="28">
                  <c:v>373.46</c:v>
                </c:pt>
                <c:pt idx="29">
                  <c:v>235.81</c:v>
                </c:pt>
                <c:pt idx="30">
                  <c:v>413.08</c:v>
                </c:pt>
                <c:pt idx="31">
                  <c:v>625.22</c:v>
                </c:pt>
                <c:pt idx="32">
                  <c:v>274.3</c:v>
                </c:pt>
                <c:pt idx="33">
                  <c:v>542.62</c:v>
                </c:pt>
                <c:pt idx="34">
                  <c:v>178.56</c:v>
                </c:pt>
                <c:pt idx="35">
                  <c:v>375.33</c:v>
                </c:pt>
                <c:pt idx="36">
                  <c:v>329.09</c:v>
                </c:pt>
                <c:pt idx="37">
                  <c:v>297.37</c:v>
                </c:pt>
                <c:pt idx="38">
                  <c:v>323.17</c:v>
                </c:pt>
                <c:pt idx="39">
                  <c:v>468.84</c:v>
                </c:pt>
                <c:pt idx="40">
                  <c:v>352.57</c:v>
                </c:pt>
                <c:pt idx="41">
                  <c:v>380.34</c:v>
                </c:pt>
                <c:pt idx="42">
                  <c:v>398.12</c:v>
                </c:pt>
                <c:pt idx="43">
                  <c:v>312.14999999999998</c:v>
                </c:pt>
                <c:pt idx="44">
                  <c:v>452.16</c:v>
                </c:pt>
                <c:pt idx="45">
                  <c:v>698.64</c:v>
                </c:pt>
                <c:pt idx="46">
                  <c:v>367.19</c:v>
                </c:pt>
                <c:pt idx="47">
                  <c:v>431.93</c:v>
                </c:pt>
                <c:pt idx="48">
                  <c:v>367.06</c:v>
                </c:pt>
                <c:pt idx="49">
                  <c:v>400.53</c:v>
                </c:pt>
                <c:pt idx="50">
                  <c:v>414.36</c:v>
                </c:pt>
                <c:pt idx="51">
                  <c:v>481.11</c:v>
                </c:pt>
                <c:pt idx="52">
                  <c:v>538.05999999999995</c:v>
                </c:pt>
                <c:pt idx="53">
                  <c:v>330.48</c:v>
                </c:pt>
                <c:pt idx="54">
                  <c:v>249.93</c:v>
                </c:pt>
                <c:pt idx="55">
                  <c:v>291.87</c:v>
                </c:pt>
                <c:pt idx="56">
                  <c:v>517.4</c:v>
                </c:pt>
                <c:pt idx="57">
                  <c:v>551.58000000000004</c:v>
                </c:pt>
                <c:pt idx="58">
                  <c:v>386.81</c:v>
                </c:pt>
                <c:pt idx="59">
                  <c:v>427.5</c:v>
                </c:pt>
                <c:pt idx="60">
                  <c:v>453.94</c:v>
                </c:pt>
                <c:pt idx="61">
                  <c:v>512.46</c:v>
                </c:pt>
                <c:pt idx="62">
                  <c:v>345.27</c:v>
                </c:pt>
                <c:pt idx="63">
                  <c:v>234.04</c:v>
                </c:pt>
                <c:pt idx="64">
                  <c:v>348.33</c:v>
                </c:pt>
                <c:pt idx="65">
                  <c:v>348.47</c:v>
                </c:pt>
                <c:pt idx="66">
                  <c:v>294.95</c:v>
                </c:pt>
                <c:pt idx="67">
                  <c:v>361.14</c:v>
                </c:pt>
                <c:pt idx="68">
                  <c:v>467.71</c:v>
                </c:pt>
                <c:pt idx="69">
                  <c:v>403.78</c:v>
                </c:pt>
                <c:pt idx="70">
                  <c:v>245.74</c:v>
                </c:pt>
                <c:pt idx="71">
                  <c:v>339.94</c:v>
                </c:pt>
                <c:pt idx="72">
                  <c:v>400.82</c:v>
                </c:pt>
                <c:pt idx="73">
                  <c:v>326.54000000000002</c:v>
                </c:pt>
              </c:numCache>
            </c:numRef>
          </c:xVal>
          <c:yVal>
            <c:numRef>
              <c:f>Data!$I$6:$I$79</c:f>
              <c:numCache>
                <c:formatCode>0</c:formatCode>
                <c:ptCount val="74"/>
                <c:pt idx="0">
                  <c:v>31</c:v>
                </c:pt>
                <c:pt idx="1">
                  <c:v>20</c:v>
                </c:pt>
                <c:pt idx="2">
                  <c:v>24</c:v>
                </c:pt>
                <c:pt idx="3">
                  <c:v>29</c:v>
                </c:pt>
                <c:pt idx="4">
                  <c:v>18</c:v>
                </c:pt>
                <c:pt idx="5">
                  <c:v>30</c:v>
                </c:pt>
                <c:pt idx="6">
                  <c:v>14</c:v>
                </c:pt>
                <c:pt idx="7">
                  <c:v>33</c:v>
                </c:pt>
                <c:pt idx="8">
                  <c:v>28</c:v>
                </c:pt>
                <c:pt idx="9">
                  <c:v>29</c:v>
                </c:pt>
                <c:pt idx="10">
                  <c:v>39</c:v>
                </c:pt>
                <c:pt idx="11">
                  <c:v>23</c:v>
                </c:pt>
                <c:pt idx="12">
                  <c:v>22</c:v>
                </c:pt>
                <c:pt idx="13">
                  <c:v>37</c:v>
                </c:pt>
                <c:pt idx="14">
                  <c:v>24</c:v>
                </c:pt>
                <c:pt idx="15">
                  <c:v>17</c:v>
                </c:pt>
                <c:pt idx="16">
                  <c:v>37</c:v>
                </c:pt>
                <c:pt idx="17">
                  <c:v>22</c:v>
                </c:pt>
                <c:pt idx="18">
                  <c:v>36</c:v>
                </c:pt>
                <c:pt idx="19">
                  <c:v>34</c:v>
                </c:pt>
                <c:pt idx="20">
                  <c:v>26</c:v>
                </c:pt>
                <c:pt idx="21">
                  <c:v>20</c:v>
                </c:pt>
                <c:pt idx="22">
                  <c:v>20</c:v>
                </c:pt>
                <c:pt idx="23">
                  <c:v>26</c:v>
                </c:pt>
                <c:pt idx="24">
                  <c:v>21</c:v>
                </c:pt>
                <c:pt idx="25">
                  <c:v>37</c:v>
                </c:pt>
                <c:pt idx="26">
                  <c:v>34</c:v>
                </c:pt>
                <c:pt idx="27">
                  <c:v>34</c:v>
                </c:pt>
                <c:pt idx="28">
                  <c:v>30</c:v>
                </c:pt>
                <c:pt idx="29">
                  <c:v>16</c:v>
                </c:pt>
                <c:pt idx="30">
                  <c:v>28</c:v>
                </c:pt>
                <c:pt idx="31">
                  <c:v>36</c:v>
                </c:pt>
                <c:pt idx="32">
                  <c:v>18</c:v>
                </c:pt>
                <c:pt idx="33">
                  <c:v>36</c:v>
                </c:pt>
                <c:pt idx="34">
                  <c:v>18</c:v>
                </c:pt>
                <c:pt idx="35">
                  <c:v>24</c:v>
                </c:pt>
                <c:pt idx="36">
                  <c:v>22</c:v>
                </c:pt>
                <c:pt idx="37">
                  <c:v>29</c:v>
                </c:pt>
                <c:pt idx="38">
                  <c:v>25</c:v>
                </c:pt>
                <c:pt idx="39">
                  <c:v>28</c:v>
                </c:pt>
                <c:pt idx="40">
                  <c:v>40</c:v>
                </c:pt>
                <c:pt idx="41">
                  <c:v>39</c:v>
                </c:pt>
                <c:pt idx="42">
                  <c:v>30</c:v>
                </c:pt>
                <c:pt idx="43">
                  <c:v>17</c:v>
                </c:pt>
                <c:pt idx="44">
                  <c:v>22</c:v>
                </c:pt>
                <c:pt idx="45">
                  <c:v>29</c:v>
                </c:pt>
                <c:pt idx="46">
                  <c:v>19</c:v>
                </c:pt>
                <c:pt idx="47">
                  <c:v>29</c:v>
                </c:pt>
                <c:pt idx="48">
                  <c:v>18</c:v>
                </c:pt>
                <c:pt idx="49">
                  <c:v>19</c:v>
                </c:pt>
                <c:pt idx="50">
                  <c:v>34</c:v>
                </c:pt>
                <c:pt idx="51">
                  <c:v>25</c:v>
                </c:pt>
                <c:pt idx="52">
                  <c:v>30</c:v>
                </c:pt>
                <c:pt idx="53">
                  <c:v>21</c:v>
                </c:pt>
                <c:pt idx="54">
                  <c:v>30</c:v>
                </c:pt>
                <c:pt idx="55">
                  <c:v>30</c:v>
                </c:pt>
                <c:pt idx="56">
                  <c:v>28</c:v>
                </c:pt>
                <c:pt idx="57">
                  <c:v>31</c:v>
                </c:pt>
                <c:pt idx="58">
                  <c:v>16</c:v>
                </c:pt>
                <c:pt idx="59">
                  <c:v>31</c:v>
                </c:pt>
                <c:pt idx="60">
                  <c:v>40</c:v>
                </c:pt>
                <c:pt idx="61">
                  <c:v>33</c:v>
                </c:pt>
                <c:pt idx="62">
                  <c:v>28</c:v>
                </c:pt>
                <c:pt idx="63">
                  <c:v>23</c:v>
                </c:pt>
                <c:pt idx="64">
                  <c:v>16</c:v>
                </c:pt>
                <c:pt idx="65">
                  <c:v>25</c:v>
                </c:pt>
                <c:pt idx="66">
                  <c:v>25</c:v>
                </c:pt>
                <c:pt idx="67">
                  <c:v>18</c:v>
                </c:pt>
                <c:pt idx="68">
                  <c:v>15</c:v>
                </c:pt>
                <c:pt idx="69">
                  <c:v>19</c:v>
                </c:pt>
                <c:pt idx="70">
                  <c:v>27</c:v>
                </c:pt>
                <c:pt idx="71">
                  <c:v>21</c:v>
                </c:pt>
                <c:pt idx="72">
                  <c:v>29</c:v>
                </c:pt>
                <c:pt idx="73">
                  <c:v>15</c:v>
                </c:pt>
              </c:numCache>
            </c:numRef>
          </c:yVal>
          <c:smooth val="0"/>
          <c:extLst>
            <c:ext xmlns:c16="http://schemas.microsoft.com/office/drawing/2014/chart" uri="{C3380CC4-5D6E-409C-BE32-E72D297353CC}">
              <c16:uniqueId val="{00000001-CB49-443A-983F-6B34CFE6E583}"/>
            </c:ext>
          </c:extLst>
        </c:ser>
        <c:dLbls>
          <c:showLegendKey val="0"/>
          <c:showVal val="0"/>
          <c:showCatName val="0"/>
          <c:showSerName val="0"/>
          <c:showPercent val="0"/>
          <c:showBubbleSize val="0"/>
        </c:dLbls>
        <c:axId val="268699632"/>
        <c:axId val="268689072"/>
      </c:scatterChart>
      <c:valAx>
        <c:axId val="268699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latin typeface="Times New Roman" panose="02020603050405020304" pitchFamily="18" charset="0"/>
                    <a:cs typeface="Times New Roman" panose="02020603050405020304" pitchFamily="18" charset="0"/>
                  </a:rPr>
                  <a:t>Sales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_);\(#,##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689072"/>
        <c:crosses val="autoZero"/>
        <c:crossBetween val="midCat"/>
      </c:valAx>
      <c:valAx>
        <c:axId val="26868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i="1">
                    <a:latin typeface="Times New Roman" panose="02020603050405020304" pitchFamily="18" charset="0"/>
                    <a:cs typeface="Times New Roman" panose="02020603050405020304" pitchFamily="18" charset="0"/>
                  </a:rPr>
                  <a:t>BachDeg%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699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latin typeface="Times New Roman" panose="02020603050405020304" pitchFamily="18" charset="0"/>
                <a:cs typeface="Times New Roman" panose="02020603050405020304" pitchFamily="18" charset="0"/>
              </a:rPr>
              <a:t>MedIncome Vs Sales/SqFt</a:t>
            </a:r>
          </a:p>
        </c:rich>
      </c:tx>
      <c:layout>
        <c:manualLayout>
          <c:xMode val="edge"/>
          <c:yMode val="edge"/>
          <c:x val="0.3075067804024497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Data!$G$1:$G$5</c:f>
              <c:strCache>
                <c:ptCount val="5"/>
                <c:pt idx="2">
                  <c:v>Median HH Income (3 Miles)</c:v>
                </c:pt>
                <c:pt idx="4">
                  <c:v>MedIncome</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Data!$F$6:$F$79</c:f>
              <c:numCache>
                <c:formatCode>#,##0.00_);\(#,##0.00\)</c:formatCode>
                <c:ptCount val="74"/>
                <c:pt idx="0">
                  <c:v>701.97</c:v>
                </c:pt>
                <c:pt idx="1">
                  <c:v>209.93</c:v>
                </c:pt>
                <c:pt idx="2">
                  <c:v>364.92</c:v>
                </c:pt>
                <c:pt idx="3">
                  <c:v>443.04</c:v>
                </c:pt>
                <c:pt idx="4">
                  <c:v>399.2</c:v>
                </c:pt>
                <c:pt idx="5">
                  <c:v>264.64</c:v>
                </c:pt>
                <c:pt idx="6">
                  <c:v>571.59</c:v>
                </c:pt>
                <c:pt idx="7">
                  <c:v>642.25</c:v>
                </c:pt>
                <c:pt idx="8">
                  <c:v>461.45</c:v>
                </c:pt>
                <c:pt idx="9">
                  <c:v>638.82000000000005</c:v>
                </c:pt>
                <c:pt idx="10">
                  <c:v>484.38</c:v>
                </c:pt>
                <c:pt idx="11">
                  <c:v>581.09</c:v>
                </c:pt>
                <c:pt idx="12">
                  <c:v>267.70999999999998</c:v>
                </c:pt>
                <c:pt idx="13">
                  <c:v>572.84</c:v>
                </c:pt>
                <c:pt idx="14">
                  <c:v>586.48</c:v>
                </c:pt>
                <c:pt idx="15">
                  <c:v>368.73</c:v>
                </c:pt>
                <c:pt idx="16">
                  <c:v>351.47</c:v>
                </c:pt>
                <c:pt idx="17">
                  <c:v>458.24</c:v>
                </c:pt>
                <c:pt idx="18">
                  <c:v>987.12</c:v>
                </c:pt>
                <c:pt idx="19">
                  <c:v>357.45</c:v>
                </c:pt>
                <c:pt idx="20">
                  <c:v>405.77</c:v>
                </c:pt>
                <c:pt idx="21">
                  <c:v>680.8</c:v>
                </c:pt>
                <c:pt idx="22">
                  <c:v>368.02</c:v>
                </c:pt>
                <c:pt idx="23">
                  <c:v>303.95</c:v>
                </c:pt>
                <c:pt idx="24">
                  <c:v>393.9</c:v>
                </c:pt>
                <c:pt idx="25">
                  <c:v>562.12</c:v>
                </c:pt>
                <c:pt idx="26">
                  <c:v>494.88</c:v>
                </c:pt>
                <c:pt idx="27">
                  <c:v>310.07</c:v>
                </c:pt>
                <c:pt idx="28">
                  <c:v>373.46</c:v>
                </c:pt>
                <c:pt idx="29">
                  <c:v>235.81</c:v>
                </c:pt>
                <c:pt idx="30">
                  <c:v>413.08</c:v>
                </c:pt>
                <c:pt idx="31">
                  <c:v>625.22</c:v>
                </c:pt>
                <c:pt idx="32">
                  <c:v>274.3</c:v>
                </c:pt>
                <c:pt idx="33">
                  <c:v>542.62</c:v>
                </c:pt>
                <c:pt idx="34">
                  <c:v>178.56</c:v>
                </c:pt>
                <c:pt idx="35">
                  <c:v>375.33</c:v>
                </c:pt>
                <c:pt idx="36">
                  <c:v>329.09</c:v>
                </c:pt>
                <c:pt idx="37">
                  <c:v>297.37</c:v>
                </c:pt>
                <c:pt idx="38">
                  <c:v>323.17</c:v>
                </c:pt>
                <c:pt idx="39">
                  <c:v>468.84</c:v>
                </c:pt>
                <c:pt idx="40">
                  <c:v>352.57</c:v>
                </c:pt>
                <c:pt idx="41">
                  <c:v>380.34</c:v>
                </c:pt>
                <c:pt idx="42">
                  <c:v>398.12</c:v>
                </c:pt>
                <c:pt idx="43">
                  <c:v>312.14999999999998</c:v>
                </c:pt>
                <c:pt idx="44">
                  <c:v>452.16</c:v>
                </c:pt>
                <c:pt idx="45">
                  <c:v>698.64</c:v>
                </c:pt>
                <c:pt idx="46">
                  <c:v>367.19</c:v>
                </c:pt>
                <c:pt idx="47">
                  <c:v>431.93</c:v>
                </c:pt>
                <c:pt idx="48">
                  <c:v>367.06</c:v>
                </c:pt>
                <c:pt idx="49">
                  <c:v>400.53</c:v>
                </c:pt>
                <c:pt idx="50">
                  <c:v>414.36</c:v>
                </c:pt>
                <c:pt idx="51">
                  <c:v>481.11</c:v>
                </c:pt>
                <c:pt idx="52">
                  <c:v>538.05999999999995</c:v>
                </c:pt>
                <c:pt idx="53">
                  <c:v>330.48</c:v>
                </c:pt>
                <c:pt idx="54">
                  <c:v>249.93</c:v>
                </c:pt>
                <c:pt idx="55">
                  <c:v>291.87</c:v>
                </c:pt>
                <c:pt idx="56">
                  <c:v>517.4</c:v>
                </c:pt>
                <c:pt idx="57">
                  <c:v>551.58000000000004</c:v>
                </c:pt>
                <c:pt idx="58">
                  <c:v>386.81</c:v>
                </c:pt>
                <c:pt idx="59">
                  <c:v>427.5</c:v>
                </c:pt>
                <c:pt idx="60">
                  <c:v>453.94</c:v>
                </c:pt>
                <c:pt idx="61">
                  <c:v>512.46</c:v>
                </c:pt>
                <c:pt idx="62">
                  <c:v>345.27</c:v>
                </c:pt>
                <c:pt idx="63">
                  <c:v>234.04</c:v>
                </c:pt>
                <c:pt idx="64">
                  <c:v>348.33</c:v>
                </c:pt>
                <c:pt idx="65">
                  <c:v>348.47</c:v>
                </c:pt>
                <c:pt idx="66">
                  <c:v>294.95</c:v>
                </c:pt>
                <c:pt idx="67">
                  <c:v>361.14</c:v>
                </c:pt>
                <c:pt idx="68">
                  <c:v>467.71</c:v>
                </c:pt>
                <c:pt idx="69">
                  <c:v>403.78</c:v>
                </c:pt>
                <c:pt idx="70">
                  <c:v>245.74</c:v>
                </c:pt>
                <c:pt idx="71">
                  <c:v>339.94</c:v>
                </c:pt>
                <c:pt idx="72">
                  <c:v>400.82</c:v>
                </c:pt>
                <c:pt idx="73">
                  <c:v>326.54000000000002</c:v>
                </c:pt>
              </c:numCache>
            </c:numRef>
          </c:xVal>
          <c:yVal>
            <c:numRef>
              <c:f>Data!$G$6:$G$79</c:f>
              <c:numCache>
                <c:formatCode>0</c:formatCode>
                <c:ptCount val="74"/>
                <c:pt idx="0">
                  <c:v>45177</c:v>
                </c:pt>
                <c:pt idx="1">
                  <c:v>51888</c:v>
                </c:pt>
                <c:pt idx="2">
                  <c:v>51379</c:v>
                </c:pt>
                <c:pt idx="3">
                  <c:v>66081</c:v>
                </c:pt>
                <c:pt idx="4">
                  <c:v>50999</c:v>
                </c:pt>
                <c:pt idx="5">
                  <c:v>41562</c:v>
                </c:pt>
                <c:pt idx="6">
                  <c:v>44196</c:v>
                </c:pt>
                <c:pt idx="7">
                  <c:v>50975</c:v>
                </c:pt>
                <c:pt idx="8">
                  <c:v>72808</c:v>
                </c:pt>
                <c:pt idx="9">
                  <c:v>79070</c:v>
                </c:pt>
                <c:pt idx="10">
                  <c:v>78497</c:v>
                </c:pt>
                <c:pt idx="11">
                  <c:v>41245</c:v>
                </c:pt>
                <c:pt idx="12">
                  <c:v>33003</c:v>
                </c:pt>
                <c:pt idx="13">
                  <c:v>90988</c:v>
                </c:pt>
                <c:pt idx="14">
                  <c:v>37950</c:v>
                </c:pt>
                <c:pt idx="15">
                  <c:v>45206</c:v>
                </c:pt>
                <c:pt idx="16">
                  <c:v>79312</c:v>
                </c:pt>
                <c:pt idx="17">
                  <c:v>37345</c:v>
                </c:pt>
                <c:pt idx="18">
                  <c:v>46226</c:v>
                </c:pt>
                <c:pt idx="19">
                  <c:v>70024</c:v>
                </c:pt>
                <c:pt idx="20">
                  <c:v>54982</c:v>
                </c:pt>
                <c:pt idx="21">
                  <c:v>54932</c:v>
                </c:pt>
                <c:pt idx="22">
                  <c:v>34097</c:v>
                </c:pt>
                <c:pt idx="23">
                  <c:v>46593</c:v>
                </c:pt>
                <c:pt idx="24">
                  <c:v>51893</c:v>
                </c:pt>
                <c:pt idx="25">
                  <c:v>88162</c:v>
                </c:pt>
                <c:pt idx="26">
                  <c:v>89016</c:v>
                </c:pt>
                <c:pt idx="27">
                  <c:v>114353</c:v>
                </c:pt>
                <c:pt idx="28">
                  <c:v>75366</c:v>
                </c:pt>
                <c:pt idx="29">
                  <c:v>48163</c:v>
                </c:pt>
                <c:pt idx="30">
                  <c:v>49956</c:v>
                </c:pt>
                <c:pt idx="31">
                  <c:v>45990</c:v>
                </c:pt>
                <c:pt idx="32">
                  <c:v>45723</c:v>
                </c:pt>
                <c:pt idx="33">
                  <c:v>43800</c:v>
                </c:pt>
                <c:pt idx="34">
                  <c:v>68711</c:v>
                </c:pt>
                <c:pt idx="35">
                  <c:v>65150</c:v>
                </c:pt>
                <c:pt idx="36">
                  <c:v>39329</c:v>
                </c:pt>
                <c:pt idx="37">
                  <c:v>63657</c:v>
                </c:pt>
                <c:pt idx="38">
                  <c:v>67099</c:v>
                </c:pt>
                <c:pt idx="39">
                  <c:v>75151</c:v>
                </c:pt>
                <c:pt idx="40">
                  <c:v>93876</c:v>
                </c:pt>
                <c:pt idx="41">
                  <c:v>79701</c:v>
                </c:pt>
                <c:pt idx="42">
                  <c:v>77115</c:v>
                </c:pt>
                <c:pt idx="43">
                  <c:v>52766</c:v>
                </c:pt>
                <c:pt idx="44">
                  <c:v>32929</c:v>
                </c:pt>
                <c:pt idx="45">
                  <c:v>87863</c:v>
                </c:pt>
                <c:pt idx="46">
                  <c:v>73752</c:v>
                </c:pt>
                <c:pt idx="47">
                  <c:v>85366</c:v>
                </c:pt>
                <c:pt idx="48">
                  <c:v>39180</c:v>
                </c:pt>
                <c:pt idx="49">
                  <c:v>56077</c:v>
                </c:pt>
                <c:pt idx="50">
                  <c:v>77449</c:v>
                </c:pt>
                <c:pt idx="51">
                  <c:v>56822</c:v>
                </c:pt>
                <c:pt idx="52">
                  <c:v>80470</c:v>
                </c:pt>
                <c:pt idx="53">
                  <c:v>55584</c:v>
                </c:pt>
                <c:pt idx="54">
                  <c:v>78001</c:v>
                </c:pt>
                <c:pt idx="55">
                  <c:v>75307</c:v>
                </c:pt>
                <c:pt idx="56">
                  <c:v>76375</c:v>
                </c:pt>
                <c:pt idx="57">
                  <c:v>61857</c:v>
                </c:pt>
                <c:pt idx="58">
                  <c:v>61312</c:v>
                </c:pt>
                <c:pt idx="59">
                  <c:v>72040</c:v>
                </c:pt>
                <c:pt idx="60">
                  <c:v>92414</c:v>
                </c:pt>
                <c:pt idx="61">
                  <c:v>92602</c:v>
                </c:pt>
                <c:pt idx="62">
                  <c:v>59599</c:v>
                </c:pt>
                <c:pt idx="63">
                  <c:v>72453</c:v>
                </c:pt>
                <c:pt idx="64">
                  <c:v>67925</c:v>
                </c:pt>
                <c:pt idx="65">
                  <c:v>42631</c:v>
                </c:pt>
                <c:pt idx="66">
                  <c:v>75652</c:v>
                </c:pt>
                <c:pt idx="67">
                  <c:v>39650</c:v>
                </c:pt>
                <c:pt idx="68">
                  <c:v>48033</c:v>
                </c:pt>
                <c:pt idx="69">
                  <c:v>67403</c:v>
                </c:pt>
                <c:pt idx="70">
                  <c:v>80597</c:v>
                </c:pt>
                <c:pt idx="71">
                  <c:v>60928</c:v>
                </c:pt>
                <c:pt idx="72">
                  <c:v>73762</c:v>
                </c:pt>
                <c:pt idx="73">
                  <c:v>64225</c:v>
                </c:pt>
              </c:numCache>
            </c:numRef>
          </c:yVal>
          <c:smooth val="0"/>
          <c:extLst>
            <c:ext xmlns:c16="http://schemas.microsoft.com/office/drawing/2014/chart" uri="{C3380CC4-5D6E-409C-BE32-E72D297353CC}">
              <c16:uniqueId val="{00000001-717D-436F-949C-7CADE74C20CC}"/>
            </c:ext>
          </c:extLst>
        </c:ser>
        <c:dLbls>
          <c:showLegendKey val="0"/>
          <c:showVal val="0"/>
          <c:showCatName val="0"/>
          <c:showSerName val="0"/>
          <c:showPercent val="0"/>
          <c:showBubbleSize val="0"/>
        </c:dLbls>
        <c:axId val="268657872"/>
        <c:axId val="268667472"/>
      </c:scatterChart>
      <c:valAx>
        <c:axId val="26865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latin typeface="Times New Roman" panose="02020603050405020304" pitchFamily="18" charset="0"/>
                    <a:cs typeface="Times New Roman" panose="02020603050405020304" pitchFamily="18" charset="0"/>
                  </a:rPr>
                  <a:t>Sales/SqFt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_);\(#,##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667472"/>
        <c:crosses val="autoZero"/>
        <c:crossBetween val="midCat"/>
      </c:valAx>
      <c:valAx>
        <c:axId val="26866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latin typeface="Times New Roman" panose="02020603050405020304" pitchFamily="18" charset="0"/>
                    <a:cs typeface="Times New Roman" panose="02020603050405020304" pitchFamily="18" charset="0"/>
                  </a:rPr>
                  <a:t>MedIncome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657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latin typeface="Times New Roman" panose="02020603050405020304" pitchFamily="18" charset="0"/>
                <a:cs typeface="Times New Roman" panose="02020603050405020304" pitchFamily="18" charset="0"/>
              </a:rPr>
              <a:t>MedAge Vs. Sales/SqFt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Data!$H$1:$H$5</c:f>
              <c:strCache>
                <c:ptCount val="5"/>
                <c:pt idx="2">
                  <c:v>Median Age (3 Miles)</c:v>
                </c:pt>
                <c:pt idx="4">
                  <c:v>MedAge</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Data!$F$6:$F$79</c:f>
              <c:numCache>
                <c:formatCode>#,##0.00_);\(#,##0.00\)</c:formatCode>
                <c:ptCount val="74"/>
                <c:pt idx="0">
                  <c:v>701.97</c:v>
                </c:pt>
                <c:pt idx="1">
                  <c:v>209.93</c:v>
                </c:pt>
                <c:pt idx="2">
                  <c:v>364.92</c:v>
                </c:pt>
                <c:pt idx="3">
                  <c:v>443.04</c:v>
                </c:pt>
                <c:pt idx="4">
                  <c:v>399.2</c:v>
                </c:pt>
                <c:pt idx="5">
                  <c:v>264.64</c:v>
                </c:pt>
                <c:pt idx="6">
                  <c:v>571.59</c:v>
                </c:pt>
                <c:pt idx="7">
                  <c:v>642.25</c:v>
                </c:pt>
                <c:pt idx="8">
                  <c:v>461.45</c:v>
                </c:pt>
                <c:pt idx="9">
                  <c:v>638.82000000000005</c:v>
                </c:pt>
                <c:pt idx="10">
                  <c:v>484.38</c:v>
                </c:pt>
                <c:pt idx="11">
                  <c:v>581.09</c:v>
                </c:pt>
                <c:pt idx="12">
                  <c:v>267.70999999999998</c:v>
                </c:pt>
                <c:pt idx="13">
                  <c:v>572.84</c:v>
                </c:pt>
                <c:pt idx="14">
                  <c:v>586.48</c:v>
                </c:pt>
                <c:pt idx="15">
                  <c:v>368.73</c:v>
                </c:pt>
                <c:pt idx="16">
                  <c:v>351.47</c:v>
                </c:pt>
                <c:pt idx="17">
                  <c:v>458.24</c:v>
                </c:pt>
                <c:pt idx="18">
                  <c:v>987.12</c:v>
                </c:pt>
                <c:pt idx="19">
                  <c:v>357.45</c:v>
                </c:pt>
                <c:pt idx="20">
                  <c:v>405.77</c:v>
                </c:pt>
                <c:pt idx="21">
                  <c:v>680.8</c:v>
                </c:pt>
                <c:pt idx="22">
                  <c:v>368.02</c:v>
                </c:pt>
                <c:pt idx="23">
                  <c:v>303.95</c:v>
                </c:pt>
                <c:pt idx="24">
                  <c:v>393.9</c:v>
                </c:pt>
                <c:pt idx="25">
                  <c:v>562.12</c:v>
                </c:pt>
                <c:pt idx="26">
                  <c:v>494.88</c:v>
                </c:pt>
                <c:pt idx="27">
                  <c:v>310.07</c:v>
                </c:pt>
                <c:pt idx="28">
                  <c:v>373.46</c:v>
                </c:pt>
                <c:pt idx="29">
                  <c:v>235.81</c:v>
                </c:pt>
                <c:pt idx="30">
                  <c:v>413.08</c:v>
                </c:pt>
                <c:pt idx="31">
                  <c:v>625.22</c:v>
                </c:pt>
                <c:pt idx="32">
                  <c:v>274.3</c:v>
                </c:pt>
                <c:pt idx="33">
                  <c:v>542.62</c:v>
                </c:pt>
                <c:pt idx="34">
                  <c:v>178.56</c:v>
                </c:pt>
                <c:pt idx="35">
                  <c:v>375.33</c:v>
                </c:pt>
                <c:pt idx="36">
                  <c:v>329.09</c:v>
                </c:pt>
                <c:pt idx="37">
                  <c:v>297.37</c:v>
                </c:pt>
                <c:pt idx="38">
                  <c:v>323.17</c:v>
                </c:pt>
                <c:pt idx="39">
                  <c:v>468.84</c:v>
                </c:pt>
                <c:pt idx="40">
                  <c:v>352.57</c:v>
                </c:pt>
                <c:pt idx="41">
                  <c:v>380.34</c:v>
                </c:pt>
                <c:pt idx="42">
                  <c:v>398.12</c:v>
                </c:pt>
                <c:pt idx="43">
                  <c:v>312.14999999999998</c:v>
                </c:pt>
                <c:pt idx="44">
                  <c:v>452.16</c:v>
                </c:pt>
                <c:pt idx="45">
                  <c:v>698.64</c:v>
                </c:pt>
                <c:pt idx="46">
                  <c:v>367.19</c:v>
                </c:pt>
                <c:pt idx="47">
                  <c:v>431.93</c:v>
                </c:pt>
                <c:pt idx="48">
                  <c:v>367.06</c:v>
                </c:pt>
                <c:pt idx="49">
                  <c:v>400.53</c:v>
                </c:pt>
                <c:pt idx="50">
                  <c:v>414.36</c:v>
                </c:pt>
                <c:pt idx="51">
                  <c:v>481.11</c:v>
                </c:pt>
                <c:pt idx="52">
                  <c:v>538.05999999999995</c:v>
                </c:pt>
                <c:pt idx="53">
                  <c:v>330.48</c:v>
                </c:pt>
                <c:pt idx="54">
                  <c:v>249.93</c:v>
                </c:pt>
                <c:pt idx="55">
                  <c:v>291.87</c:v>
                </c:pt>
                <c:pt idx="56">
                  <c:v>517.4</c:v>
                </c:pt>
                <c:pt idx="57">
                  <c:v>551.58000000000004</c:v>
                </c:pt>
                <c:pt idx="58">
                  <c:v>386.81</c:v>
                </c:pt>
                <c:pt idx="59">
                  <c:v>427.5</c:v>
                </c:pt>
                <c:pt idx="60">
                  <c:v>453.94</c:v>
                </c:pt>
                <c:pt idx="61">
                  <c:v>512.46</c:v>
                </c:pt>
                <c:pt idx="62">
                  <c:v>345.27</c:v>
                </c:pt>
                <c:pt idx="63">
                  <c:v>234.04</c:v>
                </c:pt>
                <c:pt idx="64">
                  <c:v>348.33</c:v>
                </c:pt>
                <c:pt idx="65">
                  <c:v>348.47</c:v>
                </c:pt>
                <c:pt idx="66">
                  <c:v>294.95</c:v>
                </c:pt>
                <c:pt idx="67">
                  <c:v>361.14</c:v>
                </c:pt>
                <c:pt idx="68">
                  <c:v>467.71</c:v>
                </c:pt>
                <c:pt idx="69">
                  <c:v>403.78</c:v>
                </c:pt>
                <c:pt idx="70">
                  <c:v>245.74</c:v>
                </c:pt>
                <c:pt idx="71">
                  <c:v>339.94</c:v>
                </c:pt>
                <c:pt idx="72">
                  <c:v>400.82</c:v>
                </c:pt>
                <c:pt idx="73">
                  <c:v>326.54000000000002</c:v>
                </c:pt>
              </c:numCache>
            </c:numRef>
          </c:xVal>
          <c:yVal>
            <c:numRef>
              <c:f>Data!$H$6:$H$79</c:f>
              <c:numCache>
                <c:formatCode>0.0</c:formatCode>
                <c:ptCount val="74"/>
                <c:pt idx="0">
                  <c:v>34.4</c:v>
                </c:pt>
                <c:pt idx="1">
                  <c:v>41.2</c:v>
                </c:pt>
                <c:pt idx="2">
                  <c:v>40.299999999999997</c:v>
                </c:pt>
                <c:pt idx="3">
                  <c:v>35.4</c:v>
                </c:pt>
                <c:pt idx="4">
                  <c:v>31.5</c:v>
                </c:pt>
                <c:pt idx="5">
                  <c:v>36.299999999999997</c:v>
                </c:pt>
                <c:pt idx="6">
                  <c:v>35.1</c:v>
                </c:pt>
                <c:pt idx="7">
                  <c:v>37.6</c:v>
                </c:pt>
                <c:pt idx="8">
                  <c:v>34.9</c:v>
                </c:pt>
                <c:pt idx="9">
                  <c:v>34.799999999999997</c:v>
                </c:pt>
                <c:pt idx="10">
                  <c:v>36.200000000000003</c:v>
                </c:pt>
                <c:pt idx="11">
                  <c:v>32.200000000000003</c:v>
                </c:pt>
                <c:pt idx="12">
                  <c:v>30.9</c:v>
                </c:pt>
                <c:pt idx="13">
                  <c:v>37.700000000000003</c:v>
                </c:pt>
                <c:pt idx="14">
                  <c:v>34.299999999999997</c:v>
                </c:pt>
                <c:pt idx="15">
                  <c:v>32.4</c:v>
                </c:pt>
                <c:pt idx="16">
                  <c:v>32.1</c:v>
                </c:pt>
                <c:pt idx="17">
                  <c:v>31.4</c:v>
                </c:pt>
                <c:pt idx="18">
                  <c:v>30.4</c:v>
                </c:pt>
                <c:pt idx="19">
                  <c:v>33.9</c:v>
                </c:pt>
                <c:pt idx="20">
                  <c:v>35.6</c:v>
                </c:pt>
                <c:pt idx="21">
                  <c:v>35.9</c:v>
                </c:pt>
                <c:pt idx="22">
                  <c:v>33.6</c:v>
                </c:pt>
                <c:pt idx="23">
                  <c:v>37.9</c:v>
                </c:pt>
                <c:pt idx="24">
                  <c:v>40.6</c:v>
                </c:pt>
                <c:pt idx="25">
                  <c:v>37.700000000000003</c:v>
                </c:pt>
                <c:pt idx="26">
                  <c:v>36.4</c:v>
                </c:pt>
                <c:pt idx="27">
                  <c:v>40.9</c:v>
                </c:pt>
                <c:pt idx="28">
                  <c:v>35</c:v>
                </c:pt>
                <c:pt idx="29">
                  <c:v>26.4</c:v>
                </c:pt>
                <c:pt idx="30">
                  <c:v>37.1</c:v>
                </c:pt>
                <c:pt idx="31">
                  <c:v>30.3</c:v>
                </c:pt>
                <c:pt idx="32">
                  <c:v>31.3</c:v>
                </c:pt>
                <c:pt idx="33">
                  <c:v>29.6</c:v>
                </c:pt>
                <c:pt idx="34">
                  <c:v>32.9</c:v>
                </c:pt>
                <c:pt idx="35">
                  <c:v>40.700000000000003</c:v>
                </c:pt>
                <c:pt idx="36">
                  <c:v>29.3</c:v>
                </c:pt>
                <c:pt idx="37">
                  <c:v>37.299999999999997</c:v>
                </c:pt>
                <c:pt idx="38">
                  <c:v>39.799999999999997</c:v>
                </c:pt>
                <c:pt idx="39">
                  <c:v>33.9</c:v>
                </c:pt>
                <c:pt idx="40">
                  <c:v>35</c:v>
                </c:pt>
                <c:pt idx="41">
                  <c:v>35</c:v>
                </c:pt>
                <c:pt idx="42">
                  <c:v>35.9</c:v>
                </c:pt>
                <c:pt idx="43">
                  <c:v>33</c:v>
                </c:pt>
                <c:pt idx="44">
                  <c:v>30.9</c:v>
                </c:pt>
                <c:pt idx="45">
                  <c:v>38.5</c:v>
                </c:pt>
                <c:pt idx="46">
                  <c:v>40.5</c:v>
                </c:pt>
                <c:pt idx="47">
                  <c:v>32.1</c:v>
                </c:pt>
                <c:pt idx="48">
                  <c:v>34.799999999999997</c:v>
                </c:pt>
                <c:pt idx="49">
                  <c:v>38</c:v>
                </c:pt>
                <c:pt idx="50">
                  <c:v>37</c:v>
                </c:pt>
                <c:pt idx="51">
                  <c:v>34.700000000000003</c:v>
                </c:pt>
                <c:pt idx="52">
                  <c:v>36.4</c:v>
                </c:pt>
                <c:pt idx="53">
                  <c:v>36.799999999999997</c:v>
                </c:pt>
                <c:pt idx="54">
                  <c:v>32.200000000000003</c:v>
                </c:pt>
                <c:pt idx="55">
                  <c:v>34.799999999999997</c:v>
                </c:pt>
                <c:pt idx="56">
                  <c:v>36.700000000000003</c:v>
                </c:pt>
                <c:pt idx="57">
                  <c:v>33.799999999999997</c:v>
                </c:pt>
                <c:pt idx="58">
                  <c:v>34.200000000000003</c:v>
                </c:pt>
                <c:pt idx="59">
                  <c:v>39</c:v>
                </c:pt>
                <c:pt idx="60">
                  <c:v>34.9</c:v>
                </c:pt>
                <c:pt idx="61">
                  <c:v>39.299999999999997</c:v>
                </c:pt>
                <c:pt idx="62">
                  <c:v>35.6</c:v>
                </c:pt>
                <c:pt idx="63">
                  <c:v>36</c:v>
                </c:pt>
                <c:pt idx="64">
                  <c:v>41.1</c:v>
                </c:pt>
                <c:pt idx="65">
                  <c:v>24.7</c:v>
                </c:pt>
                <c:pt idx="66">
                  <c:v>40.5</c:v>
                </c:pt>
                <c:pt idx="67">
                  <c:v>32.9</c:v>
                </c:pt>
                <c:pt idx="68">
                  <c:v>30.3</c:v>
                </c:pt>
                <c:pt idx="69">
                  <c:v>36.200000000000003</c:v>
                </c:pt>
                <c:pt idx="70">
                  <c:v>32.4</c:v>
                </c:pt>
                <c:pt idx="71">
                  <c:v>43.5</c:v>
                </c:pt>
                <c:pt idx="72">
                  <c:v>41.6</c:v>
                </c:pt>
                <c:pt idx="73">
                  <c:v>31.4</c:v>
                </c:pt>
              </c:numCache>
            </c:numRef>
          </c:yVal>
          <c:smooth val="0"/>
          <c:extLst>
            <c:ext xmlns:c16="http://schemas.microsoft.com/office/drawing/2014/chart" uri="{C3380CC4-5D6E-409C-BE32-E72D297353CC}">
              <c16:uniqueId val="{00000001-0495-47D0-B054-81B842659515}"/>
            </c:ext>
          </c:extLst>
        </c:ser>
        <c:dLbls>
          <c:showLegendKey val="0"/>
          <c:showVal val="0"/>
          <c:showCatName val="0"/>
          <c:showSerName val="0"/>
          <c:showPercent val="0"/>
          <c:showBubbleSize val="0"/>
        </c:dLbls>
        <c:axId val="323807472"/>
        <c:axId val="323797872"/>
      </c:scatterChart>
      <c:valAx>
        <c:axId val="32380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latin typeface="Times New Roman" panose="02020603050405020304" pitchFamily="18" charset="0"/>
                    <a:cs typeface="Times New Roman" panose="02020603050405020304" pitchFamily="18" charset="0"/>
                  </a:rPr>
                  <a:t>Sales/SqFt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_);\(#,##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797872"/>
        <c:crosses val="autoZero"/>
        <c:crossBetween val="midCat"/>
      </c:valAx>
      <c:valAx>
        <c:axId val="3237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latin typeface="Times New Roman" panose="02020603050405020304" pitchFamily="18" charset="0"/>
                    <a:cs typeface="Times New Roman" panose="02020603050405020304" pitchFamily="18" charset="0"/>
                  </a:rPr>
                  <a:t>MedAge</a:t>
                </a:r>
                <a:endParaRPr lang="en-US" b="1" i="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80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1"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i="1">
                <a:latin typeface="Times New Roman" panose="02020603050405020304" pitchFamily="18" charset="0"/>
                <a:cs typeface="Times New Roman" panose="02020603050405020304" pitchFamily="18" charset="0"/>
              </a:rPr>
              <a:t>LoyaltyCard% Vs. SalesGrowth</a:t>
            </a:r>
          </a:p>
        </c:rich>
      </c:tx>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Data!$E$1:$E$5</c:f>
              <c:strCache>
                <c:ptCount val="5"/>
                <c:pt idx="2">
                  <c:v>Loyalty Card % of Net Sales</c:v>
                </c:pt>
                <c:pt idx="4">
                  <c:v>LoyaltyCard%</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Data!$D$6:$D$79</c:f>
              <c:numCache>
                <c:formatCode>0.00</c:formatCode>
                <c:ptCount val="74"/>
                <c:pt idx="0">
                  <c:v>-8.31</c:v>
                </c:pt>
                <c:pt idx="1">
                  <c:v>-4.01</c:v>
                </c:pt>
                <c:pt idx="2">
                  <c:v>-3.94</c:v>
                </c:pt>
                <c:pt idx="3">
                  <c:v>-3.39</c:v>
                </c:pt>
                <c:pt idx="4">
                  <c:v>-3.3</c:v>
                </c:pt>
                <c:pt idx="5">
                  <c:v>-1.94</c:v>
                </c:pt>
                <c:pt idx="6">
                  <c:v>-0.77</c:v>
                </c:pt>
                <c:pt idx="7">
                  <c:v>-0.37</c:v>
                </c:pt>
                <c:pt idx="8">
                  <c:v>-0.25</c:v>
                </c:pt>
                <c:pt idx="9">
                  <c:v>-0.17</c:v>
                </c:pt>
                <c:pt idx="10">
                  <c:v>0.47</c:v>
                </c:pt>
                <c:pt idx="11">
                  <c:v>0.55000000000000004</c:v>
                </c:pt>
                <c:pt idx="12">
                  <c:v>0.77</c:v>
                </c:pt>
                <c:pt idx="13">
                  <c:v>1.92</c:v>
                </c:pt>
                <c:pt idx="14">
                  <c:v>2.0499999999999998</c:v>
                </c:pt>
                <c:pt idx="15">
                  <c:v>2.12</c:v>
                </c:pt>
                <c:pt idx="16">
                  <c:v>2.84</c:v>
                </c:pt>
                <c:pt idx="17">
                  <c:v>2.88</c:v>
                </c:pt>
                <c:pt idx="18">
                  <c:v>3.96</c:v>
                </c:pt>
                <c:pt idx="19">
                  <c:v>4.04</c:v>
                </c:pt>
                <c:pt idx="20">
                  <c:v>4.05</c:v>
                </c:pt>
                <c:pt idx="21">
                  <c:v>4.05</c:v>
                </c:pt>
                <c:pt idx="22">
                  <c:v>4.24</c:v>
                </c:pt>
                <c:pt idx="23">
                  <c:v>4.58</c:v>
                </c:pt>
                <c:pt idx="24">
                  <c:v>5.09</c:v>
                </c:pt>
                <c:pt idx="25">
                  <c:v>5.14</c:v>
                </c:pt>
                <c:pt idx="26">
                  <c:v>5.48</c:v>
                </c:pt>
                <c:pt idx="27">
                  <c:v>5.86</c:v>
                </c:pt>
                <c:pt idx="28">
                  <c:v>5.91</c:v>
                </c:pt>
                <c:pt idx="29">
                  <c:v>5.98</c:v>
                </c:pt>
                <c:pt idx="30">
                  <c:v>6.08</c:v>
                </c:pt>
                <c:pt idx="31">
                  <c:v>6.08</c:v>
                </c:pt>
                <c:pt idx="32">
                  <c:v>6.13</c:v>
                </c:pt>
                <c:pt idx="33">
                  <c:v>6.27</c:v>
                </c:pt>
                <c:pt idx="34">
                  <c:v>6.57</c:v>
                </c:pt>
                <c:pt idx="35">
                  <c:v>6.9</c:v>
                </c:pt>
                <c:pt idx="36">
                  <c:v>6.94</c:v>
                </c:pt>
                <c:pt idx="37">
                  <c:v>7.12</c:v>
                </c:pt>
                <c:pt idx="38">
                  <c:v>7.39</c:v>
                </c:pt>
                <c:pt idx="39">
                  <c:v>7.67</c:v>
                </c:pt>
                <c:pt idx="40">
                  <c:v>7.91</c:v>
                </c:pt>
                <c:pt idx="41">
                  <c:v>8.08</c:v>
                </c:pt>
                <c:pt idx="42">
                  <c:v>8.27</c:v>
                </c:pt>
                <c:pt idx="43">
                  <c:v>8.5399999999999991</c:v>
                </c:pt>
                <c:pt idx="44">
                  <c:v>8.58</c:v>
                </c:pt>
                <c:pt idx="45">
                  <c:v>8.7200000000000006</c:v>
                </c:pt>
                <c:pt idx="46">
                  <c:v>8.75</c:v>
                </c:pt>
                <c:pt idx="47">
                  <c:v>8.7899999999999991</c:v>
                </c:pt>
                <c:pt idx="48">
                  <c:v>8.9</c:v>
                </c:pt>
                <c:pt idx="49">
                  <c:v>9.1199999999999992</c:v>
                </c:pt>
                <c:pt idx="50">
                  <c:v>9.4700000000000006</c:v>
                </c:pt>
                <c:pt idx="51">
                  <c:v>10.17</c:v>
                </c:pt>
                <c:pt idx="52">
                  <c:v>10.66</c:v>
                </c:pt>
                <c:pt idx="53">
                  <c:v>10.97</c:v>
                </c:pt>
                <c:pt idx="54">
                  <c:v>11.34</c:v>
                </c:pt>
                <c:pt idx="55">
                  <c:v>11.45</c:v>
                </c:pt>
                <c:pt idx="56">
                  <c:v>11.51</c:v>
                </c:pt>
                <c:pt idx="57">
                  <c:v>11.73</c:v>
                </c:pt>
                <c:pt idx="58">
                  <c:v>11.83</c:v>
                </c:pt>
                <c:pt idx="59">
                  <c:v>11.95</c:v>
                </c:pt>
                <c:pt idx="60">
                  <c:v>12.47</c:v>
                </c:pt>
                <c:pt idx="61">
                  <c:v>12.8</c:v>
                </c:pt>
                <c:pt idx="62">
                  <c:v>13.78</c:v>
                </c:pt>
                <c:pt idx="63">
                  <c:v>14.09</c:v>
                </c:pt>
                <c:pt idx="64">
                  <c:v>14.23</c:v>
                </c:pt>
                <c:pt idx="65">
                  <c:v>14.6</c:v>
                </c:pt>
                <c:pt idx="66">
                  <c:v>14.88</c:v>
                </c:pt>
                <c:pt idx="67">
                  <c:v>15.42</c:v>
                </c:pt>
                <c:pt idx="68">
                  <c:v>16.18</c:v>
                </c:pt>
                <c:pt idx="69">
                  <c:v>17.23</c:v>
                </c:pt>
                <c:pt idx="70">
                  <c:v>18.43</c:v>
                </c:pt>
                <c:pt idx="71">
                  <c:v>20.76</c:v>
                </c:pt>
                <c:pt idx="72">
                  <c:v>25.54</c:v>
                </c:pt>
                <c:pt idx="73">
                  <c:v>28.81</c:v>
                </c:pt>
              </c:numCache>
            </c:numRef>
          </c:xVal>
          <c:yVal>
            <c:numRef>
              <c:f>Data!$E$6:$E$79</c:f>
              <c:numCache>
                <c:formatCode>_(* #,##0.00_);_(* \(#,##0.00\);_(* "-"??_);_(@_)</c:formatCode>
                <c:ptCount val="74"/>
                <c:pt idx="0">
                  <c:v>2.0699999999999998</c:v>
                </c:pt>
                <c:pt idx="1">
                  <c:v>2.54</c:v>
                </c:pt>
                <c:pt idx="2">
                  <c:v>1.66</c:v>
                </c:pt>
                <c:pt idx="3">
                  <c:v>2.06</c:v>
                </c:pt>
                <c:pt idx="4">
                  <c:v>2.48</c:v>
                </c:pt>
                <c:pt idx="5">
                  <c:v>2.96</c:v>
                </c:pt>
                <c:pt idx="6">
                  <c:v>2.2799999999999998</c:v>
                </c:pt>
                <c:pt idx="7">
                  <c:v>2.34</c:v>
                </c:pt>
                <c:pt idx="8">
                  <c:v>2.2000000000000002</c:v>
                </c:pt>
                <c:pt idx="9">
                  <c:v>2.34</c:v>
                </c:pt>
                <c:pt idx="10">
                  <c:v>2.09</c:v>
                </c:pt>
                <c:pt idx="11">
                  <c:v>2.4700000000000002</c:v>
                </c:pt>
                <c:pt idx="12">
                  <c:v>2.04</c:v>
                </c:pt>
                <c:pt idx="13">
                  <c:v>2.02</c:v>
                </c:pt>
                <c:pt idx="14">
                  <c:v>2.0099999999999998</c:v>
                </c:pt>
                <c:pt idx="15">
                  <c:v>2.64</c:v>
                </c:pt>
                <c:pt idx="16">
                  <c:v>2.2200000000000002</c:v>
                </c:pt>
                <c:pt idx="17">
                  <c:v>2.0699999999999998</c:v>
                </c:pt>
                <c:pt idx="18">
                  <c:v>1.94</c:v>
                </c:pt>
                <c:pt idx="19">
                  <c:v>2.17</c:v>
                </c:pt>
                <c:pt idx="20">
                  <c:v>0.72</c:v>
                </c:pt>
                <c:pt idx="21">
                  <c:v>2</c:v>
                </c:pt>
                <c:pt idx="22">
                  <c:v>1.81</c:v>
                </c:pt>
                <c:pt idx="23">
                  <c:v>2.13</c:v>
                </c:pt>
                <c:pt idx="24">
                  <c:v>2.5</c:v>
                </c:pt>
                <c:pt idx="25">
                  <c:v>2.63</c:v>
                </c:pt>
                <c:pt idx="26">
                  <c:v>1.95</c:v>
                </c:pt>
                <c:pt idx="27">
                  <c:v>2.04</c:v>
                </c:pt>
                <c:pt idx="28">
                  <c:v>1.41</c:v>
                </c:pt>
                <c:pt idx="29">
                  <c:v>2.0499999999999998</c:v>
                </c:pt>
                <c:pt idx="30">
                  <c:v>2.13</c:v>
                </c:pt>
                <c:pt idx="31">
                  <c:v>2.08</c:v>
                </c:pt>
                <c:pt idx="32">
                  <c:v>2.73</c:v>
                </c:pt>
                <c:pt idx="33">
                  <c:v>1.95</c:v>
                </c:pt>
                <c:pt idx="34">
                  <c:v>2.04</c:v>
                </c:pt>
                <c:pt idx="35">
                  <c:v>1.62</c:v>
                </c:pt>
                <c:pt idx="36">
                  <c:v>1.95</c:v>
                </c:pt>
                <c:pt idx="37">
                  <c:v>1.64</c:v>
                </c:pt>
                <c:pt idx="38">
                  <c:v>1.78</c:v>
                </c:pt>
                <c:pt idx="39">
                  <c:v>2.23</c:v>
                </c:pt>
                <c:pt idx="40">
                  <c:v>2.15</c:v>
                </c:pt>
                <c:pt idx="41">
                  <c:v>2.83</c:v>
                </c:pt>
                <c:pt idx="42">
                  <c:v>2.37</c:v>
                </c:pt>
                <c:pt idx="43">
                  <c:v>3.07</c:v>
                </c:pt>
                <c:pt idx="44">
                  <c:v>2.19</c:v>
                </c:pt>
                <c:pt idx="45">
                  <c:v>1.28</c:v>
                </c:pt>
                <c:pt idx="46">
                  <c:v>1.76</c:v>
                </c:pt>
                <c:pt idx="47">
                  <c:v>2.5099999999999998</c:v>
                </c:pt>
                <c:pt idx="48">
                  <c:v>1.9</c:v>
                </c:pt>
                <c:pt idx="49">
                  <c:v>1.98</c:v>
                </c:pt>
                <c:pt idx="50">
                  <c:v>2.41</c:v>
                </c:pt>
                <c:pt idx="51">
                  <c:v>2.17</c:v>
                </c:pt>
                <c:pt idx="52">
                  <c:v>2.16</c:v>
                </c:pt>
                <c:pt idx="53">
                  <c:v>0.28999999999999998</c:v>
                </c:pt>
                <c:pt idx="54">
                  <c:v>1.85</c:v>
                </c:pt>
                <c:pt idx="55">
                  <c:v>1.88</c:v>
                </c:pt>
                <c:pt idx="56">
                  <c:v>2.19</c:v>
                </c:pt>
                <c:pt idx="57">
                  <c:v>2.56</c:v>
                </c:pt>
                <c:pt idx="58">
                  <c:v>2.16</c:v>
                </c:pt>
                <c:pt idx="59">
                  <c:v>2.1</c:v>
                </c:pt>
                <c:pt idx="60">
                  <c:v>1.98</c:v>
                </c:pt>
                <c:pt idx="61">
                  <c:v>0.87</c:v>
                </c:pt>
                <c:pt idx="62">
                  <c:v>1.07</c:v>
                </c:pt>
                <c:pt idx="63">
                  <c:v>3.38</c:v>
                </c:pt>
                <c:pt idx="64">
                  <c:v>1.17</c:v>
                </c:pt>
                <c:pt idx="65">
                  <c:v>2.14</c:v>
                </c:pt>
                <c:pt idx="66">
                  <c:v>0.93</c:v>
                </c:pt>
                <c:pt idx="67">
                  <c:v>2.2200000000000002</c:v>
                </c:pt>
                <c:pt idx="68">
                  <c:v>1.68</c:v>
                </c:pt>
                <c:pt idx="69">
                  <c:v>2.41</c:v>
                </c:pt>
                <c:pt idx="70">
                  <c:v>2.81</c:v>
                </c:pt>
                <c:pt idx="71">
                  <c:v>1.0900000000000001</c:v>
                </c:pt>
                <c:pt idx="72">
                  <c:v>0.64</c:v>
                </c:pt>
                <c:pt idx="73">
                  <c:v>1.77</c:v>
                </c:pt>
              </c:numCache>
            </c:numRef>
          </c:yVal>
          <c:smooth val="0"/>
          <c:extLst>
            <c:ext xmlns:c16="http://schemas.microsoft.com/office/drawing/2014/chart" uri="{C3380CC4-5D6E-409C-BE32-E72D297353CC}">
              <c16:uniqueId val="{00000001-2A26-42A9-B99A-8C065634852C}"/>
            </c:ext>
          </c:extLst>
        </c:ser>
        <c:dLbls>
          <c:showLegendKey val="0"/>
          <c:showVal val="0"/>
          <c:showCatName val="0"/>
          <c:showSerName val="0"/>
          <c:showPercent val="0"/>
          <c:showBubbleSize val="0"/>
        </c:dLbls>
        <c:axId val="268654512"/>
        <c:axId val="268657872"/>
      </c:scatterChart>
      <c:valAx>
        <c:axId val="268654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1" i="1">
                    <a:latin typeface="Times New Roman" panose="02020603050405020304" pitchFamily="18" charset="0"/>
                    <a:cs typeface="Times New Roman" panose="02020603050405020304" pitchFamily="18" charset="0"/>
                  </a:rPr>
                  <a:t>SalesGrowth</a:t>
                </a:r>
              </a:p>
            </c:rich>
          </c:tx>
          <c:overlay val="0"/>
          <c:spPr>
            <a:noFill/>
            <a:ln>
              <a:noFill/>
            </a:ln>
            <a:effectLst/>
          </c:spPr>
          <c:txPr>
            <a:bodyPr rot="0" spcFirstLastPara="1" vertOverflow="ellipsis" vert="horz" wrap="square" anchor="ctr" anchorCtr="1"/>
            <a:lstStyle/>
            <a:p>
              <a:pPr>
                <a:defRPr sz="1100" b="1"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657872"/>
        <c:crosses val="autoZero"/>
        <c:crossBetween val="midCat"/>
      </c:valAx>
      <c:valAx>
        <c:axId val="26865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i="1">
                    <a:latin typeface="Times New Roman" panose="02020603050405020304" pitchFamily="18" charset="0"/>
                    <a:cs typeface="Times New Roman" panose="02020603050405020304" pitchFamily="18" charset="0"/>
                  </a:rPr>
                  <a:t>Loyalty</a:t>
                </a:r>
                <a:r>
                  <a:rPr lang="en-US" b="1" i="1" baseline="0">
                    <a:latin typeface="Times New Roman" panose="02020603050405020304" pitchFamily="18" charset="0"/>
                    <a:cs typeface="Times New Roman" panose="02020603050405020304" pitchFamily="18" charset="0"/>
                  </a:rPr>
                  <a:t> Card</a:t>
                </a:r>
                <a:endParaRPr lang="en-US" b="1" i="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1"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654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Data!$J$3:$J$79</cx:f>
        <cx:lvl ptCount="77" formatCode="@">
          <cx:pt idx="0">0</cx:pt>
          <cx:pt idx="2">0</cx:pt>
          <cx:pt idx="3">1652437.3800000001</cx:pt>
          <cx:pt idx="4">546657.71999999997</cx:pt>
          <cx:pt idx="5">895148.76000000001</cx:pt>
          <cx:pt idx="6">1036713.6000000001</cx:pt>
          <cx:pt idx="7">998000</cx:pt>
          <cx:pt idx="8">742579.83999999997</cx:pt>
          <cx:pt idx="9">1286077.5</cx:pt>
          <cx:pt idx="10">1541400</cx:pt>
          <cx:pt idx="11">1250068.05</cx:pt>
          <cx:pt idx="12">1271251.8</cx:pt>
          <cx:pt idx="13">1158636.96</cx:pt>
          <cx:pt idx="14">1399264.72</cx:pt>
          <cx:pt idx="15">703274.16999999993</cx:pt>
          <cx:pt idx="16">1432100</cx:pt>
          <cx:pt idx="17">1164749.28</cx:pt>
          <cx:pt idx="18">921825</cx:pt>
          <cx:pt idx="19">937721.96000000008</cx:pt>
          <cx:pt idx="20">1153390.0800000001</cx:pt>
          <cx:pt idx="21">1234887.1200000001</cx:pt>
          <cx:pt idx="22">1071635.0999999999</cx:pt>
          <cx:pt idx="23">1065146.25</cx:pt>
          <cx:pt idx="24">1565840</cx:pt>
          <cx:pt idx="25">1016103.22</cx:pt>
          <cx:pt idx="26">840117.79999999993</cx:pt>
          <cx:pt idx="27">957177</cx:pt>
          <cx:pt idx="28">1210806.48</cx:pt>
          <cx:pt idx="29">1187712</cx:pt>
          <cx:pt idx="30">753470.09999999998</cx:pt>
          <cx:pt idx="31">951949.53999999992</cx:pt>
          <cx:pt idx="32">589525</cx:pt>
          <cx:pt idx="33">1508981.24</cx:pt>
          <cx:pt idx="34">1525536.8</cx:pt>
          <cx:pt idx="35">713180</cx:pt>
          <cx:pt idx="36">1172059.2</cx:pt>
          <cx:pt idx="37">499968</cx:pt>
          <cx:pt idx="38">1034784.8099999999</cx:pt>
          <cx:pt idx="39">806270.49999999988</cx:pt>
          <cx:pt idx="40">713688</cx:pt>
          <cx:pt idx="41">733595.90000000002</cx:pt>
          <cx:pt idx="42">1312752</cx:pt>
          <cx:pt idx="43">888476.40000000002</cx:pt>
          <cx:pt idx="44">945905.57999999996</cx:pt>
          <cx:pt idx="45">1046657.48</cx:pt>
          <cx:pt idx="46">998879.99999999988</cx:pt>
          <cx:pt idx="47">1055793.6000000001</cx:pt>
          <cx:pt idx="48">1746600</cx:pt>
          <cx:pt idx="49">899248.30999999994</cx:pt>
          <cx:pt idx="50">1133816.25</cx:pt>
          <cx:pt idx="51">1156239</cx:pt>
          <cx:pt idx="52">1051391.25</cx:pt>
          <cx:pt idx="53">1135760.76</cx:pt>
          <cx:pt idx="54">1202775</cx:pt>
          <cx:pt idx="55">1318246.9999999998</cx:pt>
          <cx:pt idx="56">986813.28000000003</cx:pt>
          <cx:pt idx="57">741542.31000000006</cx:pt>
          <cx:pt idx="58">875610</cx:pt>
          <cx:pt idx="59">1293500</cx:pt>
          <cx:pt idx="60">1434108</cx:pt>
          <cx:pt idx="61">1083068</cx:pt>
          <cx:pt idx="62">1276515</cx:pt>
          <cx:pt idx="63">1009108.62</cx:pt>
          <cx:pt idx="64">1178658</cx:pt>
          <cx:pt idx="65">1311680.73</cx:pt>
          <cx:pt idx="66">631908</cx:pt>
          <cx:pt idx="67">923074.5</cx:pt>
          <cx:pt idx="68">871175.00000000012</cx:pt>
          <cx:pt idx="69">883080.29999999993</cx:pt>
          <cx:pt idx="70">981578.52000000002</cx:pt>
          <cx:pt idx="71">1730527</cx:pt>
          <cx:pt idx="72">807560</cx:pt>
          <cx:pt idx="73">589776</cx:pt>
          <cx:pt idx="74">832853</cx:pt>
          <cx:pt idx="75">1032111.5</cx:pt>
          <cx:pt idx="76">783696</cx:pt>
        </cx:lvl>
      </cx:numDim>
    </cx:data>
  </cx:chartData>
  <cx:chart>
    <cx:title pos="t" align="ctr" overlay="0">
      <cx:tx>
        <cx:txData>
          <cx:v>Box Plot for Annual Sales Variable </cx:v>
        </cx:txData>
      </cx:tx>
      <cx:txPr>
        <a:bodyPr spcFirstLastPara="1" vertOverflow="ellipsis" horzOverflow="overflow" wrap="square" lIns="0" tIns="0" rIns="0" bIns="0" anchor="ctr" anchorCtr="1"/>
        <a:lstStyle/>
        <a:p>
          <a:pPr algn="ctr" rtl="0">
            <a:defRPr/>
          </a:pPr>
          <a:r>
            <a:rPr lang="en-US" sz="1400" b="1" i="1"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Box Plot for Annual Sales Variable </a:t>
          </a:r>
        </a:p>
      </cx:txPr>
    </cx:title>
    <cx:plotArea>
      <cx:plotAreaRegion>
        <cx:series layoutId="boxWhisker" uniqueId="{7406BBD9-B649-4484-818A-978ADBEAAE60}">
          <cx:tx>
            <cx:txData>
              <cx:f>Data!$J$1:$J$2</cx:f>
              <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Data!$F$3:$F$79</cx:f>
        <cx:lvl ptCount="77" formatCode="@">
          <cx:pt idx="0">0</cx:pt>
          <cx:pt idx="2">0</cx:pt>
          <cx:pt idx="3">701.97000000000003</cx:pt>
          <cx:pt idx="4">209.93000000000001</cx:pt>
          <cx:pt idx="5">364.92000000000002</cx:pt>
          <cx:pt idx="6">443.04000000000002</cx:pt>
          <cx:pt idx="7">399.19999999999999</cx:pt>
          <cx:pt idx="8">264.63999999999999</cx:pt>
          <cx:pt idx="9">571.59000000000003</cx:pt>
          <cx:pt idx="10">642.25</cx:pt>
          <cx:pt idx="11">461.44999999999999</cx:pt>
          <cx:pt idx="12">638.82000000000005</cx:pt>
          <cx:pt idx="13">484.38</cx:pt>
          <cx:pt idx="14">581.09000000000003</cx:pt>
          <cx:pt idx="15">267.70999999999998</cx:pt>
          <cx:pt idx="16">572.84000000000003</cx:pt>
          <cx:pt idx="17">586.48000000000002</cx:pt>
          <cx:pt idx="18">368.73000000000002</cx:pt>
          <cx:pt idx="19">351.47000000000003</cx:pt>
          <cx:pt idx="20">458.24000000000001</cx:pt>
          <cx:pt idx="21">987.12</cx:pt>
          <cx:pt idx="22">357.44999999999999</cx:pt>
          <cx:pt idx="23">405.76999999999998</cx:pt>
          <cx:pt idx="24">680.79999999999995</cx:pt>
          <cx:pt idx="25">368.01999999999998</cx:pt>
          <cx:pt idx="26">303.94999999999999</cx:pt>
          <cx:pt idx="27">393.89999999999998</cx:pt>
          <cx:pt idx="28">562.12</cx:pt>
          <cx:pt idx="29">494.88</cx:pt>
          <cx:pt idx="30">310.06999999999999</cx:pt>
          <cx:pt idx="31">373.45999999999998</cx:pt>
          <cx:pt idx="32">235.81</cx:pt>
          <cx:pt idx="33">413.07999999999998</cx:pt>
          <cx:pt idx="34">625.22000000000003</cx:pt>
          <cx:pt idx="35">274.30000000000001</cx:pt>
          <cx:pt idx="36">542.62</cx:pt>
          <cx:pt idx="37">178.56</cx:pt>
          <cx:pt idx="38">375.32999999999998</cx:pt>
          <cx:pt idx="39">329.08999999999997</cx:pt>
          <cx:pt idx="40">297.37</cx:pt>
          <cx:pt idx="41">323.17000000000002</cx:pt>
          <cx:pt idx="42">468.83999999999997</cx:pt>
          <cx:pt idx="43">352.56999999999999</cx:pt>
          <cx:pt idx="44">380.33999999999997</cx:pt>
          <cx:pt idx="45">398.12</cx:pt>
          <cx:pt idx="46">312.14999999999998</cx:pt>
          <cx:pt idx="47">452.16000000000003</cx:pt>
          <cx:pt idx="48">698.63999999999999</cx:pt>
          <cx:pt idx="49">367.19</cx:pt>
          <cx:pt idx="50">431.93000000000001</cx:pt>
          <cx:pt idx="51">367.06</cx:pt>
          <cx:pt idx="52">400.52999999999997</cx:pt>
          <cx:pt idx="53">414.36000000000001</cx:pt>
          <cx:pt idx="54">481.11000000000001</cx:pt>
          <cx:pt idx="55">538.05999999999995</cx:pt>
          <cx:pt idx="56">330.48000000000002</cx:pt>
          <cx:pt idx="57">249.93000000000001</cx:pt>
          <cx:pt idx="58">291.87</cx:pt>
          <cx:pt idx="59">517.39999999999998</cx:pt>
          <cx:pt idx="60">551.58000000000004</cx:pt>
          <cx:pt idx="61">386.81</cx:pt>
          <cx:pt idx="62">427.5</cx:pt>
          <cx:pt idx="63">453.94</cx:pt>
          <cx:pt idx="64">512.46000000000004</cx:pt>
          <cx:pt idx="65">345.26999999999998</cx:pt>
          <cx:pt idx="66">234.03999999999999</cx:pt>
          <cx:pt idx="67">348.32999999999998</cx:pt>
          <cx:pt idx="68">348.47000000000003</cx:pt>
          <cx:pt idx="69">294.94999999999999</cx:pt>
          <cx:pt idx="70">361.13999999999999</cx:pt>
          <cx:pt idx="71">467.70999999999998</cx:pt>
          <cx:pt idx="72">403.77999999999997</cx:pt>
          <cx:pt idx="73">245.74000000000001</cx:pt>
          <cx:pt idx="74">339.94</cx:pt>
          <cx:pt idx="75">400.81999999999999</cx:pt>
          <cx:pt idx="76">326.54000000000002</cx:pt>
        </cx:lvl>
      </cx:numDim>
    </cx:data>
  </cx:chartData>
  <cx:chart>
    <cx:title pos="t" align="ctr" overlay="0">
      <cx:tx>
        <cx:txData>
          <cx:v>Histogram for Sales/SqFt</cx:v>
        </cx:txData>
      </cx:tx>
      <cx:txPr>
        <a:bodyPr spcFirstLastPara="1" vertOverflow="ellipsis" horzOverflow="overflow" wrap="square" lIns="0" tIns="0" rIns="0" bIns="0" anchor="ctr" anchorCtr="1"/>
        <a:lstStyle/>
        <a:p>
          <a:pPr algn="ctr" rtl="0">
            <a:defRPr/>
          </a:pPr>
          <a:r>
            <a:rPr lang="en-US" sz="1400" b="1" i="1"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Histogram for Sales/SqFt</a:t>
          </a:r>
        </a:p>
      </cx:txPr>
    </cx:title>
    <cx:plotArea>
      <cx:plotAreaRegion>
        <cx:series layoutId="clusteredColumn" uniqueId="{9A9ACA3A-288C-4BF0-B6A8-6C605F5E6A29}">
          <cx:tx>
            <cx:txData>
              <cx:f>Data!$F$1:$F$2</cx:f>
              <cx:v/>
            </cx:txData>
          </cx:tx>
          <cx:dataId val="0"/>
          <cx:layoutPr>
            <cx:binning intervalClosed="r"/>
          </cx:layoutPr>
        </cx:series>
      </cx:plotAreaRegion>
      <cx:axis id="0">
        <cx:catScaling gapWidth="0"/>
        <cx:title>
          <cx:tx>
            <cx:txData>
              <cx:v>Range</cx:v>
            </cx:txData>
          </cx:tx>
          <cx:txPr>
            <a:bodyPr spcFirstLastPara="1" vertOverflow="ellipsis" horzOverflow="overflow" wrap="square" lIns="0" tIns="0" rIns="0" bIns="0" anchor="ctr" anchorCtr="1"/>
            <a:lstStyle/>
            <a:p>
              <a:pPr algn="ctr" rtl="0">
                <a:defRPr/>
              </a:pPr>
              <a:r>
                <a:rPr lang="en-US" sz="1200" b="1" i="1"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Range</a:t>
              </a:r>
            </a:p>
          </cx:txPr>
        </cx:title>
        <cx:tickLabels/>
      </cx:axis>
      <cx:axis id="1">
        <cx:valScaling/>
        <cx:title>
          <cx:tx>
            <cx:rich>
              <a:bodyPr spcFirstLastPara="1" vertOverflow="ellipsis" horzOverflow="overflow" wrap="square" lIns="0" tIns="0" rIns="0" bIns="0" anchor="ctr" anchorCtr="1"/>
              <a:lstStyle/>
              <a:p>
                <a:pPr algn="ctr" rtl="0">
                  <a:defRPr/>
                </a:pPr>
                <a:r>
                  <a:rPr lang="en-US" sz="1100" b="1" i="1"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Frequency</a:t>
                </a:r>
                <a:r>
                  <a:rPr lang="en-US" sz="900" b="0" i="0" u="none" strike="noStrike" baseline="0">
                    <a:solidFill>
                      <a:sysClr val="windowText" lastClr="000000">
                        <a:lumMod val="65000"/>
                        <a:lumOff val="35000"/>
                      </a:sysClr>
                    </a:solidFill>
                    <a:latin typeface="Calibri"/>
                  </a:rPr>
                  <a:t> </a:t>
                </a:r>
              </a:p>
            </cx:rich>
          </cx:tx>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961</Words>
  <Characters>5415</Characters>
  <Application>Microsoft Office Word</Application>
  <DocSecurity>0</DocSecurity>
  <Lines>225</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Kitheka</dc:creator>
  <cp:keywords/>
  <dc:description/>
  <cp:lastModifiedBy>User Kitheka</cp:lastModifiedBy>
  <cp:revision>2</cp:revision>
  <dcterms:created xsi:type="dcterms:W3CDTF">2025-09-06T10:44:00Z</dcterms:created>
  <dcterms:modified xsi:type="dcterms:W3CDTF">2025-09-06T16:19:00Z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6360d5bb-4939-4351-931c-4bb5e0cf51c9</vt:lpwstr>
  </property>
</Properties>
</file>