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8"/>
        </w:rPr>
        <w:t>网络结构评分规则说明</w:t>
      </w:r>
    </w:p>
    <w:p>
      <w:r>
        <w:rPr>
          <w:rFonts w:ascii="Calibri" w:hAnsi="Calibri" w:eastAsia="Microsoft YaHei"/>
          <w:color w:val="56616D"/>
          <w:sz w:val="23"/>
        </w:rPr>
        <w:t>对照程序实现的算法构成、输入信号、候选规则、加权公式与证据链解释</w:t>
      </w:r>
    </w:p>
    <w:p>
      <w:r>
        <w:rPr>
          <w:rFonts w:ascii="Calibri" w:hAnsi="Calibri" w:eastAsia="Microsoft YaHei"/>
          <w:color w:val="56616D"/>
          <w:sz w:val="19"/>
        </w:rPr>
        <w:t>适用范围：DDAE / Network Structure Scoring 产品线  |  日期：2026-07-01  |  状态：说明文档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核心结论</w:t>
            </w:r>
          </w:p>
          <w:p>
            <w:r>
              <w:rPr>
                <w:rFonts w:ascii="Calibri" w:hAnsi="Calibri" w:eastAsia="Microsoft YaHei"/>
                <w:color w:val="1F2933"/>
                <w:sz w:val="21"/>
              </w:rPr>
              <w:t>网络结构评分不是 PageRank，也不是黑盒 AI。它是基于 BOM 网络路径展开的多因子白盒评分模型：网络图指标判断结构重要性，DDMRP / DDS&amp;OP 运行信号判断现实承压，主设置候选规则判断治理类型，加权得分判断优先级，证据链解释支撑审计。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评分模型总览</w:t>
      </w:r>
    </w:p>
    <w:p>
      <w:r>
        <w:rPr>
          <w:rFonts w:ascii="Calibri" w:hAnsi="Calibri" w:eastAsia="Microsoft YaHei"/>
        </w:rPr>
        <w:t>当前程序把网络结构评分拆成两步：第一步由 NetworkMetricsService 计算物料网络指标；第二步由 NetworkStructureScoringService 将网络指标、运行信号和候选规则组合为控制点、解耦点、库存缓冲、时间缓冲、能力缓冲等候选评分。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1900"/>
        <w:gridCol w:w="2350"/>
        <w:gridCol w:w="351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组成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回答的问题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程序位置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在评分中的作用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网络图指标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这个点在结构上重要吗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NetworkMetricsService.BuildDraft()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形成下游覆盖、数量影响、累计提前期、供应风险、资源约束、库存代价等分项基础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DDMRP / DDS&amp;OP 运行信号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这个点当前是否承压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NetworkScoringDataSet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把 ADU、缓冲投影、RCCP 负荷、供应缺口、服务目标等动态信号注入评分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主设置候选规则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它应该治理成什么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RecommendSettingType() 与各 Build*Candidates()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决定推荐类型：解耦点、库存缓冲、时间缓冲、能力缓冲、供应主设置或只监控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加权得分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优先级有多高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Score()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用统一 0-100 分计算候选优先级，并转为红黄绿严重度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证据链解释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为什么这么判断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MetricEvidence() 与 NetworkMetricEvidence</w:t>
            </w:r>
          </w:p>
        </w:tc>
        <w:tc>
          <w:tcPr>
            <w:tcW w:type="dxa" w:w="35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输出 BOM 行、供应来源、工艺路线、提前期档案、缓冲设置、库存位置等可审计证据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程序文件与职责对照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00"/>
        <w:gridCol w:w="3350"/>
        <w:gridCol w:w="3610"/>
      </w:tblGrid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文件 / 类型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关键方法或字段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职责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NetworkMetricsService.cs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GetBaseline(), BuildDraft(), Traverse()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读取已发布 BOM 和网络主数据，展开上下游路径并生成网络指标。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NetworkStructureScoringService.cs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GetBaseline(), BuildGraphMaterialCandidates(), BuildSkuCandidates(), BuildResourceCandidates(), BuildSupplierCandidates(), BuildFamilyDecouplingCandidates()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把网络指标和运行信号转换为候选评分、推荐动作、证据链和不采纳风险。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NetworkScoringModels.cs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NetworkScoringDataSet, NetworkStructureCandidate, NetworkStructureScoringResult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定义评分输入信号和评分输出结构。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NetworkMetricsModels.cs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NetworkItemMetric, NetworkMetricBreakdown, NetworkMetricEvidence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承载每个物料的指标分、原始值、解释和证据。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NetworkDataSet.cs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NetworkItemMaster, NetworkBomLine, NetworkSupplierSource, NetworkRoutingLine, NetworkBufferSetting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承载独立网络结构产品的主数据快照。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网络图指标如何计算</w:t>
      </w:r>
    </w:p>
    <w:p>
      <w:r>
        <w:rPr>
          <w:rFonts w:ascii="Calibri" w:hAnsi="Calibri" w:eastAsia="Microsoft YaHei"/>
        </w:rPr>
        <w:t>网络图指标来自 NetworkMetricsService。它先筛选生效且已发布的 BOM，再分别建立父到子、子到父的邻接关系。Traverse() 会沿 BOM 路径展开，当前最多追踪 8 层，并为每条路径保留累计用量。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450"/>
        <w:gridCol w:w="3300"/>
        <w:gridCol w:w="2150"/>
        <w:gridCol w:w="2460"/>
      </w:tblGrid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指标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原始值计算方式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归一化方式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业务含义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下游覆盖度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下游路径数量 + 成品 SKU 数 x 2 + 产品族数量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当前原始值 / 全网最大原始值 x 100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影响范围越广，越适合作为控制点或解耦点。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数量影响度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Σ(BOM 路径累计用量 x 下游成品 ADU)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当前原始值 / 全网最大原始值 x 100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用量放大越强，缓冲或控制点影响越大。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累计提前期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供应提前期 + Lead Time Profile 标准提前期 x 波动因子 + 时间缓冲天数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当前原始值 / 全网最大原始值 x 100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保护窗口越长，越需要前置治理。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供应风险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供应能力风险、提前期风险、波动风险、资格风险和能力为零风险的加权组合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规则映射后限制在 0-100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供应越不可靠，越倾向时间缓冲或供应主设置。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资源约束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routing 关联资源的最大 RCCP 负荷率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负荷率限制在 0-100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资源越接近瓶颈，越需要能力缓冲或管理取舍。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库存代价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单位成本 x MOQ x BOM 路径最大累计用量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当前原始值 / 全网最大原始值 x 100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库存代价越高，越不应简单用库存缓冲解决。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DDMRP / DDS&amp;OP 运行信号</w:t>
      </w:r>
    </w:p>
    <w:p>
      <w:r>
        <w:rPr>
          <w:rFonts w:ascii="Calibri" w:hAnsi="Calibri" w:eastAsia="Microsoft YaHei"/>
        </w:rPr>
        <w:t>运行信号让评分从静态 BOM 分析升级为“结构重要性 + 当前承压状态”的综合判断。它们由 NetworkScoringDataSet 承载，通常来自 DDS&amp;OP 场景运行、DDMRP 缓冲投影、RCCP 与供应约束结果。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1900"/>
        <w:gridCol w:w="57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运行信号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程序字段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评分中的作用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SKU 缓冲参数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Skus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提供 ADU、DLT、变异因子、MOQ、订货周期、红黄绿上沿。用于 SKU 候选的服务影响、提前期、变异和库存代价解释。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未来需求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Demand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计算需求波动和需求规模，影响 SKU 候选的需求变异分。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缓冲投影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BufferProjections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统计红区周，判断当前缓冲是否失效，影响 SKU 和产品族治理优先级。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资源路线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ResourceRoutings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把 SKU / 物料关联到资源，是能力缓冲和资源约束评分的桥。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RCCP 负荷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CapacityLoads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提供资源 LoadPercent，用于资源约束分、峰值负荷、超载周和黄色预警周。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供应需求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SupplyRequirements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计算供应商 / 物料族的需求规模，影响供应候选的服务影响。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供应能力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SupplierCapacity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提供红黄绿风险和缺口，影响供应风险分和时间缓冲候选。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产品族目标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Families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服务水平和流速目标用于衡量该候选对交付承诺的重要性。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主设置候选规则</w:t>
      </w:r>
    </w:p>
    <w:p>
      <w:r>
        <w:rPr>
          <w:rFonts w:ascii="Calibri" w:hAnsi="Calibri" w:eastAsia="Microsoft YaHei"/>
        </w:rPr>
        <w:t>主设置候选规则决定“这个候选应该治理成什么”。它不完全等于分数：分数用于排序，候选规则用于推荐治理类型和动作。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5250"/>
        <w:gridCol w:w="241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候选对象</w:t>
            </w:r>
          </w:p>
        </w:tc>
        <w:tc>
          <w:tcPr>
            <w:tcW w:type="dxa" w:w="5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主要规则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推荐类型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物料节点</w:t>
            </w:r>
          </w:p>
        </w:tc>
        <w:tc>
          <w:tcPr>
            <w:tcW w:type="dxa" w:w="5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没有现有缓冲、有可执行库存位置、下游路径足够多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解耦点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物料节点</w:t>
            </w:r>
          </w:p>
        </w:tc>
        <w:tc>
          <w:tcPr>
            <w:tcW w:type="dxa" w:w="5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采购件或原材料，且供应风险高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时间缓冲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物料节点</w:t>
            </w:r>
          </w:p>
        </w:tc>
        <w:tc>
          <w:tcPr>
            <w:tcW w:type="dxa" w:w="5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有可执行库存位置，且为半成品或采购件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库存缓冲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物料节点</w:t>
            </w:r>
          </w:p>
        </w:tc>
        <w:tc>
          <w:tcPr>
            <w:tcW w:type="dxa" w:w="5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半成品，且资源约束高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能力缓冲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SKU</w:t>
            </w:r>
          </w:p>
        </w:tc>
        <w:tc>
          <w:tcPr>
            <w:tcW w:type="dxa" w:w="5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供应风险高且单位成本较高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时间缓冲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SKU</w:t>
            </w:r>
          </w:p>
        </w:tc>
        <w:tc>
          <w:tcPr>
            <w:tcW w:type="dxa" w:w="5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存在缓冲、需求或服务风险，但未触发时间缓冲优先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库存缓冲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资源</w:t>
            </w:r>
          </w:p>
        </w:tc>
        <w:tc>
          <w:tcPr>
            <w:tcW w:type="dxa" w:w="5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资源本身进入候选，读取峰值负荷、超载周、共享 SKU 数和影响产品族数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能力缓冲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供应商 / 物料族</w:t>
            </w:r>
          </w:p>
        </w:tc>
        <w:tc>
          <w:tcPr>
            <w:tcW w:type="dxa" w:w="5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有供应缺口或供应风险高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时间缓冲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供应商 / 物料族</w:t>
            </w:r>
          </w:p>
        </w:tc>
        <w:tc>
          <w:tcPr>
            <w:tcW w:type="dxa" w:w="5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无明显缺口但需要承诺窗口治理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供应主设置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产品族</w:t>
            </w:r>
          </w:p>
        </w:tc>
        <w:tc>
          <w:tcPr>
            <w:tcW w:type="dxa" w:w="52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产品族内多 SKU、多资源、多红区周或服务目标较高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解耦点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候选规则的优先级</w:t>
            </w:r>
          </w:p>
          <w:p>
            <w:r>
              <w:rPr>
                <w:rFonts w:ascii="Calibri" w:hAnsi="Calibri" w:eastAsia="Microsoft YaHei"/>
                <w:color w:val="1F2933"/>
                <w:sz w:val="21"/>
              </w:rPr>
              <w:t>物料节点推荐类型存在优先级：先判断解耦点，再判断高供应风险的时间缓冲，再判断库存缓冲，再判断能力缓冲，最后才是只监控。因此，一个物料即使关联瓶颈资源，也可能因为更适合做解耦点或库存缓冲而被归到其他治理类型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加权得分与红黄绿状态</w:t>
      </w:r>
    </w:p>
    <w:p>
      <w:r>
        <w:rPr>
          <w:rFonts w:ascii="Calibri" w:hAnsi="Calibri" w:eastAsia="Microsoft YaHei"/>
        </w:rPr>
        <w:t>最终得分由 NetworkStructureScoringService.Score() 计算。各分项通常已经转换为 0-100 分，库存成本作为负向惩罚项。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200"/>
        <w:gridCol w:w="1200"/>
        <w:gridCol w:w="4960"/>
      </w:tblGrid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分项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权重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含义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下游覆盖度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0.18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覆盖越广，结构重要性越高。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累计提前期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0.17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保护窗口越长，提前治理价值越高。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数量影响度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0.14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BOM 用量和 ADU 放大越强，流动影响越高。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供应风险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0.18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供应越脆弱，越需要时间缓冲或供应治理。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资源约束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0.18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关联资源越接近瓶颈，越需要能力缓冲或管理取舍。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服务影响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0.15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对交付承诺影响越大，优先级越高。</w:t>
            </w:r>
          </w:p>
        </w:tc>
      </w:tr>
      <w:tr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库存成本惩罚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-0.10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库存代价越高，越抑制简单库存缓冲建议。</w:t>
            </w:r>
          </w:p>
        </w:tc>
      </w:tr>
    </w:tbl>
    <w:p/>
    <w:p>
      <w:r>
        <w:rPr>
          <w:rFonts w:ascii="Calibri" w:hAnsi="Calibri" w:eastAsia="Microsoft YaHei"/>
        </w:rPr>
        <w:t>公式：Score = 下游覆盖度 x 0.18 + 累计提前期 x 0.17 + 数量影响度 x 0.14 + 供应风险 x 0.18 + 资源约束 x 0.18 + 服务影响 x 0.15 - 库存成本惩罚 x 0.10。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1500"/>
        <w:gridCol w:w="60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得分范围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严重度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管理含义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&gt;= 75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红色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优先进入主设置治理或管理评审，不采纳风险高。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&gt;= 55 且 &lt; 75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黄色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需要监控、场景验证或纳入下一轮 DDS&amp;OP 评审。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&lt; 55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绿色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当前可保持监控，不一定需要立即调整主设置。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能力缓冲如何由 routing 得到</w:t>
      </w:r>
    </w:p>
    <w:p>
      <w:r>
        <w:rPr>
          <w:rFonts w:ascii="Calibri" w:hAnsi="Calibri" w:eastAsia="Microsoft YaHei"/>
        </w:rPr>
        <w:t>能力缓冲主要由 routing 与 RCCP 负荷信号共同决定。routing 负责说明某个 SKU、物料或产品族会使用哪些资源；RCCP 负荷负责说明这些资源在计划窗口内是否成为约束。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400"/>
        <w:gridCol w:w="2400"/>
        <w:gridCol w:w="5560"/>
      </w:tblGrid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步骤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程序数据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说明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1. 建立资源关联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NetworkRoutingLine / ResourceRoutings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把物料、SKU 或产品族连接到资源和单位能力消耗。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2. 读取资源负荷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CapacityLoads / ResourceLoads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按资源读取 LoadPercent，通常来自 DDS&amp;OP RCCP。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3. 计算资源约束分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resourceConstraint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取关联资源的最大负荷率，超过 100 时封顶为 100。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4. 生成资源候选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BuildResourceCandidates()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对资源本身计算峰值负荷、超载周、黄色周、共享 SKU 数、产品族数，推荐为能力缓冲。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5. 生成物料能力缓冲候选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RecommendSettingType()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当半成品资源约束较高且未被更高优先级规则命中时，推荐能力缓冲。</w:t>
            </w:r>
          </w:p>
        </w:tc>
      </w:tr>
    </w:tbl>
    <w:p/>
    <w:p>
      <w:r>
        <w:rPr>
          <w:rFonts w:ascii="Calibri" w:hAnsi="Calibri" w:eastAsia="Microsoft YaHei"/>
        </w:rPr>
        <w:t>因此，当前能力缓冲不是详细排程级的“哪天哪小时占用资源”，而是 DDS&amp;OP / 网络结构层面的关键资源保护点候选。详细任务包排程应由 DDOM / SDBR 或未来有限能力排程层处理。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证据链解释</w:t>
      </w:r>
    </w:p>
    <w:p>
      <w:r>
        <w:rPr>
          <w:rFonts w:ascii="Calibri" w:hAnsi="Calibri" w:eastAsia="Microsoft YaHei"/>
        </w:rPr>
        <w:t>证据链不直接参与算分，但它决定评分是否可审计。每个候选输出 Rationale、RecommendedAction、Evidence、NotAdoptingRisk 和分项得分，让管理层能看到分数背后的主数据与运行结果。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100"/>
        <w:gridCol w:w="55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证据类型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来源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解释内容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BomLine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BOM 行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该物料通过哪些父子项路径影响下游成品或产品族。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SupplierSource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供应来源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供应商、资格、周能力、提前期、波动率和 MOQ。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RoutingLine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工艺路线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使用哪些资源、工序和单位资源消耗。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LeadTimeProfile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提前期档案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标准提前期、波动因子和适用节点。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BufferSetting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缓冲设置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是否为解耦点、MOQ、订货周期、时间缓冲和库存缓冲 profile。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InventoryLocation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库存位置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是否存在合格库、半成品超市、线边库等可执行库存位置。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证据链的产品价值</w:t>
            </w:r>
          </w:p>
          <w:p>
            <w:r>
              <w:rPr>
                <w:rFonts w:ascii="Calibri" w:hAnsi="Calibri" w:eastAsia="Microsoft YaHei"/>
                <w:color w:val="1F2933"/>
                <w:sz w:val="21"/>
              </w:rPr>
              <w:t>证据链让网络结构评分从“分数”变成“可解释建议”。计划员可以看到候选点为什么重要、关联哪些 BOM 行和资源、供应风险来自哪里、如果不采纳会保留什么风险。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输出结构与下游使用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050"/>
        <w:gridCol w:w="3100"/>
        <w:gridCol w:w="4210"/>
      </w:tblGrid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输出字段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含义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下游用途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CandidateId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候选唯一标识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用于 UI 选择、追踪和后续场景验证。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TargetType / Target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候选对象类型和编码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区分物料、SKU、资源、供应商 / 物料族、产品族。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RecommendedSettingType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推荐主设置类型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进入 DDS&amp;OP 主设置治理或场景预览。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Score / Severity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总分和红黄绿状态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决定管理优先级。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分项得分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下游覆盖、提前期、数量影响、供应风险、资源约束、库存代价、服务影响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解释分数来源，支持排序和对比。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Rationale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候选得分理由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给计划员和管理层阅读。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RecommendedAction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建议动作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转换为 DDS&amp;OP 场景动作或主设置变更建议。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Evidence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证据链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支持审计和根因追溯。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NotAdoptingRisk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不采纳风险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3"/>
                <w:sz w:val="18"/>
              </w:rPr>
              <w:t>支持管理评审中的取舍讨论。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产品边界</w:t>
      </w:r>
    </w:p>
    <w:p>
      <w:r>
        <w:rPr>
          <w:rFonts w:ascii="Calibri" w:hAnsi="Calibri" w:eastAsia="Microsoft YaHei"/>
        </w:rPr>
        <w:t>网络结构评分产品负责发现候选控制点、解耦点和缓冲点，并输出证据链、不采纳风险和候选动作影响。它不直接运行 DDS&amp;OP 场景，不发布主设置，不生成工单，不替代 DDMRP 公式。</w:t>
      </w:r>
    </w:p>
    <w:p>
      <w:r>
        <w:rPr>
          <w:rFonts w:ascii="Calibri" w:hAnsi="Calibri" w:eastAsia="Microsoft YaHei"/>
        </w:rPr>
        <w:t>DDS&amp;OP 场景运行产品负责把候选转换为场景预览、缓冲投影、RCCP、供应约束和主设置治理动作。最终库存金额、红区周、补货订单、RCCP 与供应缺口变化，必须回到 DDS&amp;OP / DDMRP 白盒引擎重算确认。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4050"/>
        <w:gridCol w:w="361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产品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负责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不负责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网络结构评分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物料网络图、网络指标、候选点评分、证据链、不采纳风险、候选动作影响矩阵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不生成计划、不发布主设置、不直接决定补货订单或详细排程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DDS&amp;OP 场景运行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异常识别、场景预览、缓冲趋势、RCCP、供应约束、Trace、主设置治理</w:t>
            </w:r>
          </w:p>
        </w:tc>
        <w:tc>
          <w:tcPr>
            <w:tcW w:type="dxa" w:w="36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不承担 BOM 网络结构评分算法，不把评分结果直接当计划采纳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当前算法的局限与后续增强</w:t>
      </w:r>
    </w:p>
    <w:p>
      <w:pPr>
        <w:pStyle w:val="ListBullet"/>
      </w:pPr>
      <w:r>
        <w:rPr>
          <w:rFonts w:ascii="Calibri" w:hAnsi="Calibri" w:eastAsia="Microsoft YaHei"/>
          <w:color w:val="1F2933"/>
          <w:sz w:val="21"/>
        </w:rPr>
        <w:t>当前归一化主要采用“当前值 / 全网最大值 x 100”，不是排名百分位。若网络存在极端值，可能压低普通候选分数。</w:t>
      </w:r>
    </w:p>
    <w:p>
      <w:pPr>
        <w:pStyle w:val="ListBullet"/>
      </w:pPr>
      <w:r>
        <w:rPr>
          <w:rFonts w:ascii="Calibri" w:hAnsi="Calibri" w:eastAsia="Microsoft YaHei"/>
          <w:color w:val="1F2933"/>
          <w:sz w:val="21"/>
        </w:rPr>
        <w:t>能力缓冲当前基于 routing 与 RCCP 负荷，是粗能力层信号，不是详细排程冲突检测。</w:t>
      </w:r>
    </w:p>
    <w:p>
      <w:pPr>
        <w:pStyle w:val="ListBullet"/>
      </w:pPr>
      <w:r>
        <w:rPr>
          <w:rFonts w:ascii="Calibri" w:hAnsi="Calibri" w:eastAsia="Microsoft YaHei"/>
          <w:color w:val="1F2933"/>
          <w:sz w:val="21"/>
        </w:rPr>
        <w:t>主设置候选规则有优先级，可能导致同一对象只显示一个推荐类型。后续可支持多标签候选。</w:t>
      </w:r>
    </w:p>
    <w:p>
      <w:pPr>
        <w:pStyle w:val="ListBullet"/>
      </w:pPr>
      <w:r>
        <w:rPr>
          <w:rFonts w:ascii="Calibri" w:hAnsi="Calibri" w:eastAsia="Microsoft YaHei"/>
          <w:color w:val="1F2933"/>
          <w:sz w:val="21"/>
        </w:rPr>
        <w:t>Gurobi / OR-Tools 更适合作为候选动作组合选择器，而不是网络结构评分本体。求解器输出仍需 DDS&amp;OP 白盒重算验证。</w:t>
      </w:r>
    </w:p>
    <w:p>
      <w:pPr>
        <w:pStyle w:val="ListBullet"/>
      </w:pPr>
      <w:r>
        <w:rPr>
          <w:rFonts w:ascii="Calibri" w:hAnsi="Calibri" w:eastAsia="Microsoft YaHei"/>
          <w:color w:val="1F2933"/>
          <w:sz w:val="21"/>
        </w:rPr>
        <w:t>后续可以增加分位数归一化、鲁棒缩放、数据质量评分、候选组合影响矩阵和正式 DDS&amp;OP 接口契约。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A：术语速查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术语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3"/>
                <w:sz w:val="19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解耦点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在物料网络中切断依赖传播、设置库存或控制机制的关键节点。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库存缓冲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通过红黄绿库存区保护流动的主设置。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时间缓冲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通过保护时间、Act/Late 阈值或供应承诺窗口保护流动的主设置。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能力缓冲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对关键资源设置保护能力、负荷边界或扩容触发条件的主设置。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供应主设置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供应商承诺能力、提前期、风险窗口和替代策略等治理对象。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证据链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3"/>
                <w:sz w:val="18"/>
              </w:rPr>
              <w:t>支撑评分和建议的 BOM、供应、routing、缓冲、库存位置等原始证据。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6616D"/>
        <w:sz w:val="18"/>
      </w:rPr>
      <w:t>DDAE 网络结构评分规则说明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