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Microsoft YaHei"/>
          <w:b/>
          <w:color w:val="0B2545"/>
          <w:sz w:val="48"/>
        </w:rPr>
        <w:t>网络结构评分 V2：数据结构与开发过程</w:t>
      </w:r>
    </w:p>
    <w:p>
      <w:pPr>
        <w:spacing w:after="200"/>
      </w:pPr>
      <w:r>
        <w:rPr>
          <w:b/>
          <w:color w:val="1F4D78"/>
        </w:rPr>
        <w:t>开发原则：数据结构先行，算法其次，优化器最后。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80"/>
            </w:pPr>
            <w:r>
              <w:rPr>
                <w:b/>
                <w:color w:val="1F4D78"/>
              </w:rPr>
              <w:t>核心边界</w:t>
            </w:r>
            <w:r>
              <w:br/>
              <w:t>解耦点在本系统中定义为物料节点。库存位置不决定解耦点，但决定该解耦点是否可执行：能否存放、由谁负责、是否可共享、质量状态和有效期如何控制。DDAE 负责评分、场景验证和主设置治理；PLM 管 BOM 结构；DDOM / SDBR 管详细执行。</w:t>
            </w:r>
          </w:p>
        </w:tc>
      </w:tr>
    </w:tbl>
    <w:p>
      <w:pPr>
        <w:pStyle w:val="Heading1"/>
      </w:pPr>
      <w:r>
        <w:t>1. 总体路线</w:t>
      </w:r>
    </w:p>
    <w:p>
      <w:pPr>
        <w:ind w:left="360" w:hanging="173"/>
      </w:pPr>
      <w:r>
        <w:rPr>
          <w:b/>
        </w:rPr>
        <w:t xml:space="preserve">• </w:t>
      </w:r>
      <w:r>
        <w:t>数据结构先行：先把物料、BOM、供应、routing、库存位置和缓冲设置建成可解释网络。</w:t>
      </w:r>
    </w:p>
    <w:p>
      <w:pPr>
        <w:ind w:left="360" w:hanging="173"/>
      </w:pPr>
      <w:r>
        <w:rPr>
          <w:b/>
        </w:rPr>
        <w:t xml:space="preserve">• </w:t>
      </w:r>
      <w:r>
        <w:t>算法其次：先用图遍历和白盒评分识别候选控制点、库存缓冲、时间缓冲和能力缓冲。</w:t>
      </w:r>
    </w:p>
    <w:p>
      <w:pPr>
        <w:ind w:left="360" w:hanging="173"/>
      </w:pPr>
      <w:r>
        <w:rPr>
          <w:b/>
        </w:rPr>
        <w:t xml:space="preserve">• </w:t>
      </w:r>
      <w:r>
        <w:t>优化器最后：Gurobi / OR-Tools 只在候选动作很多且存在预算、能力、服务目标等组合约束时使用。</w:t>
      </w:r>
    </w:p>
    <w:p>
      <w:pPr>
        <w:ind w:left="360" w:hanging="173"/>
      </w:pPr>
      <w:r>
        <w:rPr>
          <w:b/>
        </w:rPr>
        <w:t xml:space="preserve">• </w:t>
      </w:r>
      <w:r>
        <w:t>评分建议不在同一次 DDMRP 推演中动态改变已生效解耦点；批准后的主设置才进入下一轮计划。</w:t>
      </w:r>
    </w:p>
    <w:p>
      <w:pPr>
        <w:pStyle w:val="Heading1"/>
      </w:pPr>
      <w:r>
        <w:t>2. 网络数据结构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300"/>
        <w:gridCol w:w="2500"/>
        <w:gridCol w:w="2800"/>
        <w:gridCol w:w="2760"/>
      </w:tblGrid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</w:rPr>
              <w:t>对象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</w:rPr>
              <w:t>关键字段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</w:rPr>
              <w:t>用途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</w:rPr>
              <w:t>边界说明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ItemMaster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itemCode, itemName, itemType, family, lifecycleStatus, unitCost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定义成品、半成品、采购件和原材料节点。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解耦点以 itemCode 为核心，不以工序或库存位置作为主定义。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BomHeader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bomId, parentItem, bomVersion, effectiveFrom, effectiveTo, releaseStatus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承接 PLM 发布的 BOM 版本和生效期。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DDAE 读取生效快照，不替代 PLM 管版本。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BomLine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parentItem, componentItem, quantityPer, scrapFactor, alternateGroup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建立父子物料关系和用量传播。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不同产品族用量差异由 BOM 行体现。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AlternateItem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alternateGroup, primaryItem, alternateItem, priority, substitutionRatio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表达替代料路径和切换优先级。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先做评分解释，后续再做替代供应场景。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RoutingLine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itemCode, modelCode, operationCode, resourceCode, capacityPerUnit, routingVersion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把物料需求折算为资源负荷。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工艺路线随型号变化，必须按型号/产品族和生效期管理。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SupplierSource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itemCode, supplierCode, allocationPercent, priority, leadTimeDays, leadTimeVariability, capacityPerWeek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表达多供应商、主供/备供、交期和能力。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lead time 固定，但用波动率表达不确定性。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InventoryLocation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itemCode, locationCode, locationType, qualityStatus, owner, shelfLifeDays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判断缓冲点是否可执行。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库存位置不是解耦点定义，但决定可存放性和责任归属。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BufferSetting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itemCode, isDecouplingPoint, inventoryBufferProfile, timeBufferDays, MOQ, orderCycleDays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定义当前已生效的 DDMRP 主设置。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当前 plan run 内固定，变更需进入主设置治理。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LeadTimeProfile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itemCode, standardLeadTimeDays, variabilityFactor, sourceType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支持时间缓冲评分。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可从采购、外协、前道工序或质量放行来源聚合。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NetworkScoreResult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candidateId, targetItem, score, settingType, rationale, evidence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保存评分结果和解释。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是评审入口，不是自动执行指令。</w:t>
            </w:r>
          </w:p>
        </w:tc>
      </w:tr>
    </w:tbl>
    <w:p>
      <w:pPr>
        <w:pStyle w:val="Heading1"/>
      </w:pPr>
      <w:r>
        <w:t>3. 网络图关系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2600"/>
        <w:gridCol w:w="49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</w:rPr>
              <w:t>边类型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</w:rPr>
              <w:t>方向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</w:rPr>
              <w:t>用途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BOM 边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parentItem -&gt; componentItem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展开物料结构、计算用量和下游需求传播。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反向影响边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componentItem -&gt; parentItem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计算某物料影响哪些成品、产品族和客户交付。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供应边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supplierCode -&gt; itemCode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识别多供应商、主供/备供和供应风险传播。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Routing 边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itemCode -&gt; resourceCode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把预计补货订单折算为资源负荷和能力缓冲候选。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库存边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itemCode -&gt; locationCode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判断控制点物料是否具备库存承载位置。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替代料边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itemCode &lt;-&gt; alternateItem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评估替代路径、切换成本和供应风险缓解能力。</w:t>
            </w:r>
          </w:p>
        </w:tc>
      </w:tr>
    </w:tbl>
    <w:p>
      <w:pPr>
        <w:pStyle w:val="Heading1"/>
      </w:pPr>
      <w:r>
        <w:t>4. V2 白盒评分指标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00"/>
        <w:gridCol w:w="3900"/>
        <w:gridCol w:w="3860"/>
      </w:tblGrid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</w:rPr>
              <w:t>指标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</w:rPr>
              <w:t>计算口径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</w:rPr>
              <w:t>业务解释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下游覆盖度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从物料节点反向遍历到成品 SKU / 产品族的数量。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覆盖越广，越可能成为控制点或共用缓冲点。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数量影响度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下游需求 × BOM 用量 × 损耗因子聚合。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不是只看出现次数，还要看真实需求拉动量。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累计提前期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物料节点到成品或供应节点路径上的 lead time 聚合。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用于识别时间缓冲和解耦保护价值。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供应风险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供应商数量、主供风险、备供能力、lead time 波动率、供应能力缺口。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决定是否优先加时间缓冲或供应主设置治理。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资源约束影响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下游补货需求 × routing capacityPerUnit 聚合到资源。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决定是否需要能力缓冲或提前建库。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库存代价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单位成本、库存位置、质量状态、货架期、库存空间。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成本高不一定不重要，但可能更适合时间缓冲。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管理复杂度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涉及产品族、责任组织、供应商、库存位置和替代路径数量。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避免推荐难以执行的复杂控制点。</w:t>
            </w:r>
          </w:p>
        </w:tc>
      </w:tr>
    </w:tbl>
    <w:p>
      <w:pPr>
        <w:pStyle w:val="Heading1"/>
      </w:pPr>
      <w:r>
        <w:t>5. 候选类型与判断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4200"/>
        <w:gridCol w:w="33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</w:rPr>
              <w:t>候选类型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</w:rPr>
              <w:t>优先条件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</w:rPr>
              <w:t>输出建议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解耦点 / 控制点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下游覆盖广、累计提前期长、共用性高、能隔离供应或资源波动。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建议将物料纳入 DDOM 主设置治理，评估是否成为缓冲物料。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库存缓冲点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需求稳定或可预测、库存代价可接受、具备可执行库存位置。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建议设置或重审红黄绿区、MOQ、订货周期。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时间缓冲点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长交期、高波动率、高供应风险、高成本物料。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建议在控制点物料前增加保护时间和 Act/Late 阈值。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能力缓冲点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routing 聚合后形成瓶颈、峰值负荷高、影响多个产品族。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建议设置能力保护边界、增班/外协/窗口预留策略。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只监控不建缓冲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风险存在但库存代价高、替代路径明确或管理复杂度高。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建议加入异常监控，不直接增加库存。</w:t>
            </w:r>
          </w:p>
        </w:tc>
      </w:tr>
    </w:tbl>
    <w:p>
      <w:pPr>
        <w:pStyle w:val="Heading1"/>
      </w:pPr>
      <w:r>
        <w:t>6. 详细开发过程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00"/>
        <w:gridCol w:w="4800"/>
        <w:gridCol w:w="3160"/>
      </w:tblGrid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</w:rPr>
              <w:t>阶段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</w:rPr>
              <w:t>开发内容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</w:rPr>
              <w:t>验收标准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Phase 1 数据模型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新增 ItemMaster、BomHeader、BomLine、AlternateItem、RoutingLine、SupplierSource、InventoryLocation、BufferSetting、LeadTimeProfile DTO。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模型能表达 PLM BOM 快照、多供应商、型号化 routing 和库存位置。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Phase 2 Seed 数据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构造卫星制造多层 BOM：卫星平台、有效载荷、星载电子、热控结构、FPGA、电缆束等。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至少覆盖 4 个产品族、10 层以内示例路径、多供应商和替代料。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Phase 3 图构建服务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建立正向/反向邻接表，校验循环、孤儿节点、版本生效期和缺失主数据。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能按物料展开上游/下游影响范围，并输出校验报告。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Phase 4 网络指标计算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计算下游覆盖度、数量影响度、累计提前期、供应风险、资源约束、库存代价。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每个指标都能追溯到具体 BOM 行、供应来源或 routing 行。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Phase 5 V2 评分服务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把指标转成解耦点、库存缓冲、时间缓冲、能力缓冲候选评分。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候选结果包含得分、推荐类型、证据、解释和不采纳风险。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Phase 6 场景验证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把候选作为拟议主设置，运行 DDS&amp;OP / DDMRP 白盒推演。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输出库存金额、红区周、补货订单、RCCP、供应缺口变化。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Phase 7 主设置治理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将通过评审的候选保存为主设置变更请求。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批准后成为下一轮 plan run 输入，不在当前推演中动态改写。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Phase 8 优化器组合选择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当候选动作很多且存在预算/能力/服务目标约束时，调用 Gurobi / OR-Tools。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优化器只选择动作组合，最终必须回到白盒引擎重算。</w:t>
            </w:r>
          </w:p>
        </w:tc>
      </w:tr>
    </w:tbl>
    <w:p>
      <w:pPr>
        <w:pStyle w:val="Heading1"/>
      </w:pPr>
      <w:r>
        <w:t>7. 计划员解释口径</w:t>
      </w:r>
    </w:p>
    <w:p>
      <w:pPr>
        <w:ind w:left="360" w:hanging="173"/>
      </w:pPr>
      <w:r>
        <w:rPr>
          <w:b/>
        </w:rPr>
        <w:t xml:space="preserve">• </w:t>
      </w:r>
      <w:r>
        <w:t>为什么推荐这个物料：说明它影响哪些成品、产品族、供应商、库存位置和关键资源。</w:t>
      </w:r>
    </w:p>
    <w:p>
      <w:pPr>
        <w:ind w:left="360" w:hanging="173"/>
      </w:pPr>
      <w:r>
        <w:rPr>
          <w:b/>
        </w:rPr>
        <w:t xml:space="preserve">• </w:t>
      </w:r>
      <w:r>
        <w:t>为什么推荐这种缓冲：说明更适合库存缓冲、时间缓冲、能力缓冲，还是只监控。</w:t>
      </w:r>
    </w:p>
    <w:p>
      <w:pPr>
        <w:ind w:left="360" w:hanging="173"/>
      </w:pPr>
      <w:r>
        <w:rPr>
          <w:b/>
        </w:rPr>
        <w:t xml:space="preserve">• </w:t>
      </w:r>
      <w:r>
        <w:t>如果采纳会怎样：展示库存金额、红区周、服务风险、资源负荷和供应缺口变化。</w:t>
      </w:r>
    </w:p>
    <w:p>
      <w:pPr>
        <w:ind w:left="360" w:hanging="173"/>
      </w:pPr>
      <w:r>
        <w:rPr>
          <w:b/>
        </w:rPr>
        <w:t xml:space="preserve">• </w:t>
      </w:r>
      <w:r>
        <w:t>如果不采纳会怎样：说明可能影响的成品、缺料周、瓶颈资源和供应商升级事项。</w:t>
      </w:r>
    </w:p>
    <w:p>
      <w:pPr>
        <w:ind w:left="360" w:hanging="173"/>
      </w:pPr>
      <w:r>
        <w:rPr>
          <w:b/>
        </w:rPr>
        <w:t xml:space="preserve">• </w:t>
      </w:r>
      <w:r>
        <w:t>评分解释应该面向业务，而不是只展示公式。公式可进入白盒追踪和审计链。</w:t>
      </w:r>
    </w:p>
    <w:p>
      <w:pPr>
        <w:pStyle w:val="Heading1"/>
      </w:pPr>
      <w:r>
        <w:t>8. 与现有系统的衔接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75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</w:rPr>
              <w:t>系统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</w:rPr>
              <w:t>职责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PLM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管理 BOM 版本、生效日期、替代料和发布状态。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DDAE / DDS&amp;OP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读取网络快照，做网络评分、场景预览、优化推荐和主设置治理。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DDOM / SDBR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执行详细资源日历、日能力、排程、工单释放和现场反馈。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Gurobi / OR-Tools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仅在候选动作组合选择层使用，不替代 DDMRP 规则和白盒推演。</w:t>
            </w:r>
          </w:p>
        </w:tc>
      </w:tr>
    </w:tbl>
    <w:p>
      <w:pPr>
        <w:pStyle w:val="Heading1"/>
      </w:pPr>
      <w:r>
        <w:t>9. 当前确认的业务原则</w:t>
      </w:r>
    </w:p>
    <w:p>
      <w:pPr>
        <w:ind w:left="360" w:hanging="173"/>
      </w:pPr>
      <w:r>
        <w:rPr>
          <w:b/>
        </w:rPr>
        <w:t xml:space="preserve">• </w:t>
      </w:r>
      <w:r>
        <w:t>BOM 版本、生效日期、替代料由 PLM 管理，DDAE 使用已发布快照。</w:t>
      </w:r>
    </w:p>
    <w:p>
      <w:pPr>
        <w:ind w:left="360" w:hanging="173"/>
      </w:pPr>
      <w:r>
        <w:rPr>
          <w:b/>
        </w:rPr>
        <w:t xml:space="preserve">• </w:t>
      </w:r>
      <w:r>
        <w:t>同一物料在不同产品族中的用量差异由 BOM 行体现。</w:t>
      </w:r>
    </w:p>
    <w:p>
      <w:pPr>
        <w:ind w:left="360" w:hanging="173"/>
      </w:pPr>
      <w:r>
        <w:rPr>
          <w:b/>
        </w:rPr>
        <w:t xml:space="preserve">• </w:t>
      </w:r>
      <w:r>
        <w:t>采购 lead time 使用固定值，波动率作为评分和时间缓冲因子。</w:t>
      </w:r>
    </w:p>
    <w:p>
      <w:pPr>
        <w:ind w:left="360" w:hanging="173"/>
      </w:pPr>
      <w:r>
        <w:rPr>
          <w:b/>
        </w:rPr>
        <w:t xml:space="preserve">• </w:t>
      </w:r>
      <w:r>
        <w:t>工艺路线会随型号变化，因此 routing 必须支持型号/产品族和版本。</w:t>
      </w:r>
    </w:p>
    <w:p>
      <w:pPr>
        <w:ind w:left="360" w:hanging="173"/>
      </w:pPr>
      <w:r>
        <w:rPr>
          <w:b/>
        </w:rPr>
        <w:t xml:space="preserve">• </w:t>
      </w:r>
      <w:r>
        <w:t>一个物料可以有多个供应商，评分需要区分主供、备供、能力和切换风险。</w:t>
      </w:r>
    </w:p>
    <w:p>
      <w:pPr>
        <w:ind w:left="360" w:hanging="173"/>
      </w:pPr>
      <w:r>
        <w:rPr>
          <w:b/>
        </w:rPr>
        <w:t xml:space="preserve">• </w:t>
      </w:r>
      <w:r>
        <w:t>解耦点定义为物料节点；库存位置是可执行性属性，不是解耦点定义本身。</w:t>
      </w:r>
    </w:p>
    <w:p>
      <w:pPr>
        <w:ind w:left="360" w:hanging="173"/>
      </w:pPr>
      <w:r>
        <w:rPr>
          <w:b/>
        </w:rPr>
        <w:t xml:space="preserve">• </w:t>
      </w:r>
      <w:r>
        <w:t>时间缓冲放在控制点物料前，用于保护控制点物料的供应、前道工序或质量放行风险。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