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napToGrid w:val="true"/>
        <w:spacing w:before="340" w:after="330" w:line="578" w:lineRule="auto"/>
        <w:ind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</w:r>
      <w:r>
        <w:rPr>
          <w:rFonts w:ascii="宋体" w:hAnsi="宋体" w:eastAsia="宋体"/>
          <w:b w:val="true"/>
          <w:bCs w:val="true"/>
        </w:rPr>
        <w:t>知花知果</w:t>
      </w:r>
      <w:r>
        <w:rPr>
          <w:rFonts w:ascii="Cambria" w:hAnsi="Cambria" w:eastAsia="Cambria"/>
          <w:b w:val="true"/>
          <w:bCs w:val="true"/>
        </w:rPr>
        <w:t>ERP</w:t>
      </w:r>
      <w:r>
        <w:rPr>
          <w:rFonts w:ascii="宋体" w:hAnsi="宋体" w:eastAsia="宋体"/>
          <w:b w:val="true"/>
          <w:bCs w:val="true"/>
        </w:rPr>
        <w:t>系统功能设计</w:t>
      </w:r>
    </w:p>
    <w:p>
      <w:pPr>
        <w:pStyle w:val="a8"/>
        <w:numPr>
          <w:ilvl w:val="0"/>
          <w:numId w:val="1"/>
        </w:numPr>
        <w:pBdr/>
        <w:spacing/>
        <w:ind w:hangingChars="200" w:firstLineChars="0"/>
        <w:jc w:val="both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  <w:shd w:val="clear"/>
        </w:rPr>
        <w:t>设计概述</w:t>
      </w:r>
    </w:p>
    <w:p>
      <w:pPr>
        <w:pBdr/>
        <w:spacing/>
        <w:ind w:leftChars="20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  <w:shd w:val="clear"/>
        </w:rPr>
        <w:t>知花知果作为平台服务商，提供商品销售的服务，所有在仓库中的商品性质均为代售，商品所有权（货主）属于供货商。基于此业务模式，商品采购产生的货款设定为代付款（知花知果代客户），商品销售产生的货款分为代收款（知花知果代供应商）、销售佣金和平台服务费，知花知果只确认平台服务费的收入，其他款项的记录仅为满足管理需要。与供应商的结算通过代付款和代收款核销，未销售完且无法退给供应商的商品，以破损出库的方式产生代收款，以此保证商品库存最终为0，且代收代付相等。</w:t>
      </w:r>
    </w:p>
    <w:p>
      <w:pPr>
        <w:pBdr/>
        <w:spacing/>
        <w:ind w:leftChars="200"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  <w:shd w:val="clear"/>
        </w:rPr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both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采购管理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1、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涉及单据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采购申请单：采购人员发起，采购经理或其他管理人员审批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采购入库单：由供应链下推，财务审核通过后，更新ERP库存并通知供应链更新库存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代付单：由采购入库单下推，代付单的实付数据由运营平台推送，或出纳填写确认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系统流程设计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133850" cy="52197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both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Times New Roman" w:hAnsi="Times New Roman" w:eastAsia="Times New Roman"/>
          <w:sz w:val="14"/>
          <w:szCs w:val="14"/>
        </w:rPr>
        <w:t xml:space="preserve"> </w:t>
      </w:r>
      <w:r>
        <w:rPr>
          <w:rFonts w:ascii="宋体" w:hAnsi="宋体" w:eastAsia="宋体"/>
          <w:sz w:val="21"/>
          <w:szCs w:val="21"/>
        </w:rPr>
        <w:t>采购退货</w:t>
      </w:r>
    </w:p>
    <w:p>
      <w:pPr>
        <w:pStyle w:val="a8"/>
        <w:numPr>
          <w:ilvl w:val="0"/>
          <w:numId w:val="2"/>
        </w:numPr>
        <w:pBdr/>
        <w:spacing/>
        <w:ind w:leftChars="200" w:hangingChars="0" w:firstLineChars="3"/>
        <w:jc w:val="both"/>
        <w:rPr>
          <w:rFonts w:ascii="Times New Roman" w:hAnsi="Times New Roman" w:eastAsia="Times New Roman"/>
          <w:sz w:val="14"/>
          <w:szCs w:val="14"/>
        </w:rPr>
      </w:pPr>
      <w:r>
        <w:rPr>
          <w:rFonts w:hint="eastAsia"/>
        </w:rPr>
      </w:r>
      <w:r>
        <w:rPr>
          <w:rFonts w:ascii="Times New Roman" w:hAnsi="Times New Roman" w:eastAsia="Times New Roman"/>
          <w:sz w:val="14"/>
          <w:szCs w:val="14"/>
        </w:rPr>
      </w:r>
      <w:r>
        <w:rPr>
          <w:rFonts w:ascii="Times New Roman" w:hAnsi="Times New Roman" w:eastAsia="Times New Roman"/>
          <w:sz w:val="14"/>
          <w:szCs w:val="14"/>
          <w:shd w:val="clear"/>
        </w:rPr>
        <w:t xml:space="preserve">       </w:t>
      </w:r>
      <w:r>
        <w:rPr>
          <w:rFonts w:ascii="SimSun,Songti SC,宋体,sans-serif" w:hAnsi="SimSun,Songti SC,宋体,sans-serif" w:eastAsia="SimSun,Songti SC,宋体,sans-serif"/>
          <w:sz w:val="21"/>
          <w:szCs w:val="21"/>
          <w:shd w:val="clear"/>
        </w:rPr>
        <w:t xml:space="preserve"> </w:t>
      </w:r>
      <w:r>
        <w:rPr>
          <w:rFonts w:ascii="SimHei,Heiti SC,黑体,sans-serif" w:hAnsi="SimHei,Heiti SC,黑体,sans-serif" w:eastAsia="SimHei,Heiti SC,黑体,sans-serif"/>
          <w:sz w:val="21"/>
          <w:szCs w:val="21"/>
          <w:shd w:val="clear"/>
        </w:rPr>
        <w:t>涉及单据</w:t>
      </w:r>
    </w:p>
    <w:p>
      <w:pPr>
        <w:pBdr/>
        <w:spacing/>
        <w:ind w:leftChars="40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,宋体,sans-serif" w:hAnsi="SimSun,Songti SC,宋体,sans-serif" w:eastAsia="SimSun,Songti SC,宋体,sans-serif"/>
          <w:sz w:val="21"/>
          <w:szCs w:val="21"/>
          <w:shd w:val="clear"/>
        </w:rPr>
        <w:t>采购退货单：由供应链下推，财务审核通过后，更新ERP库存并通知供应链更新库存</w:t>
      </w:r>
    </w:p>
    <w:p>
      <w:pPr>
        <w:pBdr/>
        <w:spacing/>
        <w:ind w:leftChars="40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,宋体,sans-serif" w:hAnsi="SimSun,Songti SC,宋体,sans-serif" w:eastAsia="SimSun,Songti SC,宋体,sans-serif"/>
          <w:sz w:val="21"/>
          <w:szCs w:val="21"/>
          <w:shd w:val="clear"/>
        </w:rPr>
        <w:t>代付单：由采购退货单下推生成，以退货商品的总成本记负的代付金额</w:t>
      </w:r>
    </w:p>
    <w:p>
      <w:pPr>
        <w:spacing/>
        <w:ind w:leftChars="400"/>
        <w:jc w:val="both"/>
        <w:rPr>
          <w:rFonts w:ascii="Times New Roman" w:hAnsi="Times New Roman" w:eastAsia="Times New Roman"/>
          <w:sz w:val="14"/>
          <w:szCs w:val="14"/>
        </w:rPr>
      </w:pPr>
      <w:r>
        <w:rPr>
          <w:rFonts w:ascii="Times New Roman" w:hAnsi="Times New Roman" w:eastAsia="Times New Roman"/>
          <w:sz w:val="14"/>
          <w:szCs w:val="14"/>
        </w:rPr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系统流程设计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810125" cy="52387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Chars="200" w:hangingChars="0"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pBdr/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  <w:shd w:val="clear"/>
        </w:rPr>
        <w:t xml:space="preserve">四、  </w:t>
      </w:r>
      <w:r>
        <w:rPr>
          <w:rFonts w:ascii="宋体" w:hAnsi="宋体" w:eastAsia="宋体"/>
          <w:sz w:val="21"/>
          <w:szCs w:val="21"/>
        </w:rPr>
        <w:t>销售管理（订单出库）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1、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14"/>
          <w:szCs w:val="14"/>
        </w:rPr>
        <w:t>涉及单据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销售订单：oms中已完成的销售订单下推给ERP，包含了销售分账信息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销售出库单：wms中已完成的销售出库单下推给ERP，记录了销售订单编号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代收单：根据销售商品的成本价确认代收金额，销售订单中已记录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应收单：平台从订单金额中确认的销售收入，销售订单中已记录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收款单：应收单下推生成收款单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佣金单：团长和自提点的销售佣金，销售订单中已记录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系统流程设计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4867914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Chars="200" w:hangingChars="0"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五、</w:t>
      </w:r>
      <w:r>
        <w:rPr>
          <w:rFonts w:ascii="Times New Roman" w:hAnsi="Times New Roman" w:eastAsia="Times New Roman"/>
          <w:sz w:val="14"/>
          <w:szCs w:val="14"/>
        </w:rPr>
        <w:t xml:space="preserve">     </w:t>
      </w:r>
      <w:r>
        <w:rPr>
          <w:rFonts w:ascii="宋体" w:hAnsi="宋体" w:eastAsia="宋体"/>
          <w:sz w:val="21"/>
          <w:szCs w:val="21"/>
        </w:rPr>
        <w:t>销售退货（取货）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1、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14"/>
          <w:szCs w:val="14"/>
        </w:rPr>
        <w:t>涉及单据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退货订单：由OMS下推，记录了退货金额中的各方分账信息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销售退货入库单：由供应链下推，财务审核通过后，更新ERP库存并通知供应链更新库存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代收单（负）：由退货订单的供应商分账信息生成，金额为负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应收单（负）：</w:t>
      </w:r>
      <w:r>
        <w:rPr>
          <w:rFonts w:ascii="微软雅黑" w:hAnsi="微软雅黑" w:eastAsia="微软雅黑"/>
          <w:sz w:val="21"/>
          <w:szCs w:val="21"/>
        </w:rPr>
        <w:t>由退货订单的平台分账信息生成，金额为负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收款单（负）：由应收单下推生成，金额为负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佣金单（负）：</w:t>
      </w:r>
      <w:r>
        <w:rPr>
          <w:rFonts w:ascii="微软雅黑" w:hAnsi="微软雅黑" w:eastAsia="微软雅黑"/>
          <w:sz w:val="21"/>
          <w:szCs w:val="21"/>
        </w:rPr>
        <w:t>由退货订单的团长和自提点佣金信息生成，金额为负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系统设计流程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5255303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六、  销售退货（不取货）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不取货的销售退货，从OMS下推生成退货订单后，产生销售退货入库单，财务审核后生成代收单（负）、应收单（负）、收款单（负）、佣金单（负），同时生成破损出库单，并生成代收单（平台作为客户付给供应商）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4130483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Chars="200"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/>
    </w:p>
    <w:p>
      <w:pPr>
        <w:spacing/>
        <w:ind w:leftChars="200" w:hangingChars="0"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/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七、</w:t>
      </w:r>
      <w:r>
        <w:rPr>
          <w:rFonts w:ascii="Times New Roman" w:hAnsi="Times New Roman" w:eastAsia="Times New Roman"/>
          <w:sz w:val="14"/>
          <w:szCs w:val="14"/>
        </w:rPr>
        <w:t xml:space="preserve">     </w:t>
      </w:r>
      <w:r>
        <w:rPr>
          <w:rFonts w:ascii="宋体" w:hAnsi="宋体" w:eastAsia="宋体"/>
          <w:sz w:val="21"/>
          <w:szCs w:val="21"/>
        </w:rPr>
        <w:t>其他流程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1、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销售出库（无订单）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仓库里直接发生的销售，或者内部打折处理滞销品，使用无订单信息的销售出库单，销售出库单下推后，根据商品的成本生成代收单，根据商品的销售金额减去代收金额生成应收单和收款单，不产生佣金单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系统设计流程：</w:t>
      </w:r>
    </w:p>
    <w:p>
      <w:pPr>
        <w:spacing/>
        <w:ind/>
        <w:jc w:val="left"/>
      </w:pPr>
      <w:r>
        <w:rPr>
          <w:rFonts w:ascii="宋体" w:hAnsi="宋体" w:eastAsia="宋体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819650" cy="521970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破损出库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商品发生滞销无法出售，且无法退还给供应商，使用破损出库单处理，按照出库商品的成本生成代收单，用以冲抵平台给供应商的代付款。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系统设计流程：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790950" cy="522922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八、</w:t>
      </w:r>
      <w:r>
        <w:rPr>
          <w:rFonts w:ascii="Times New Roman" w:hAnsi="Times New Roman" w:eastAsia="Times New Roman"/>
          <w:sz w:val="14"/>
          <w:szCs w:val="14"/>
        </w:rPr>
        <w:t xml:space="preserve">     </w:t>
      </w:r>
      <w:r>
        <w:rPr>
          <w:rFonts w:ascii="宋体" w:hAnsi="宋体" w:eastAsia="宋体"/>
          <w:sz w:val="21"/>
          <w:szCs w:val="21"/>
        </w:rPr>
        <w:t>供应商核销</w:t>
      </w:r>
    </w:p>
    <w:p>
      <w:pPr>
        <w:spacing/>
        <w:ind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代售模式下，应定期对供应商的代付和代收进行核销，以确保商品库存处理完毕，且账务数据平衡。财务人员发起供应商核销单，将供应商的代付数据和代收数据进行冲抵，若冲抵后为0，则核销完成，将代付单和代收单关闭；若冲抵后不为0，则说明仍有库存商品，需要通知运营继续销售或通知仓库做破损出库，直到代收代付核销完成。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495675" cy="4486275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九、</w:t>
      </w:r>
      <w:r>
        <w:rPr>
          <w:rFonts w:ascii="Times New Roman" w:hAnsi="Times New Roman" w:eastAsia="Times New Roman"/>
          <w:sz w:val="14"/>
          <w:szCs w:val="14"/>
        </w:rPr>
        <w:t xml:space="preserve">     </w:t>
      </w:r>
      <w:r>
        <w:rPr>
          <w:rFonts w:ascii="宋体" w:hAnsi="宋体" w:eastAsia="宋体"/>
          <w:sz w:val="21"/>
          <w:szCs w:val="21"/>
        </w:rPr>
        <w:t>查询统计需求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产品库存查询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销售毛利查询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代收账款查询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代付账款查询</w:t>
      </w:r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十、</w:t>
      </w:r>
      <w:r>
        <w:rPr>
          <w:rFonts w:ascii="Times New Roman" w:hAnsi="Times New Roman" w:eastAsia="Times New Roman"/>
          <w:sz w:val="14"/>
          <w:szCs w:val="14"/>
        </w:rPr>
        <w:t xml:space="preserve">     </w:t>
      </w:r>
      <w:r>
        <w:rPr>
          <w:rFonts w:ascii="宋体" w:hAnsi="宋体" w:eastAsia="宋体"/>
          <w:sz w:val="21"/>
          <w:szCs w:val="21"/>
        </w:rPr>
        <w:t>基础数据准备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从运营平台同步组织机构信息（大区、城市）、供应商信息、产品信息、</w:t>
      </w:r>
      <w:r>
        <w:rPr>
          <w:rFonts w:ascii="微软雅黑" w:hAnsi="微软雅黑" w:eastAsia="微软雅黑"/>
          <w:sz w:val="21"/>
          <w:szCs w:val="21"/>
        </w:rPr>
        <w:t>sku</w:t>
      </w:r>
      <w:r>
        <w:rPr>
          <w:rFonts w:ascii="宋体" w:hAnsi="宋体" w:eastAsia="宋体"/>
          <w:sz w:val="21"/>
          <w:szCs w:val="21"/>
        </w:rPr>
        <w:t>信息、客户信息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从供应链同步仓库信息</w:t>
      </w:r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十一、</w:t>
      </w:r>
      <w:r>
        <w:rPr>
          <w:rFonts w:ascii="Times New Roman" w:hAnsi="Times New Roman" w:eastAsia="Times New Roman"/>
          <w:sz w:val="14"/>
          <w:szCs w:val="14"/>
        </w:rPr>
        <w:t xml:space="preserve"> </w:t>
      </w:r>
      <w:r>
        <w:rPr>
          <w:rFonts w:ascii="宋体" w:hAnsi="宋体" w:eastAsia="宋体"/>
          <w:sz w:val="21"/>
          <w:szCs w:val="21"/>
        </w:rPr>
        <w:t>功能菜单设计</w:t>
      </w:r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275"/>
        <w:gridCol w:w="1890"/>
        <w:gridCol w:w="2565"/>
        <w:gridCol w:w="1275"/>
      </w:tblGrid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一级菜单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二级菜单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实现方式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工作台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我的待办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展示当前用户的待办单据列表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采购管理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采购申请单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显示和查询采购申请单据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采购入库单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显示和查询采购入库单据，数据从供应链同步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退货出库单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显示和查询退货出库单据，数据从供应链同步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销售管理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销售订单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显示和查询销售订单，数据从供应链同步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销售出库单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显示和查询销售出库单据，数据从供应链同步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退货订单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显示和查询退货订单情况，数据从oms同步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退货入库单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显示和查询退货入库单据，数据从供应链同步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库存管理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破损出库单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显示和查询破损出库单据，数据从供应链同步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商品库存查询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显示和查询商品的库存及成本数据，可穿透查询出入库流水及对应单据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定制开发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财务管理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供应商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核销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显示、查询和发起供应商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核销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单，选择和汇总一段时期内供应商的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代收代付数据进行核销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定制开发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代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付单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显示和查询应付单据，由业务单据下推生成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代收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显示和查询付款单据，由应付单下推生成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应收单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显示和查询应收单据，由业务单据下推生成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收款单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显示和查询应收单据，由应收单下推生成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销售毛利查询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根据销售数据和成本数据计算和显示商品的毛利情况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定制开发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佣金单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显示和查询团长和自提点佣金单据情况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基础数据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产品信息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显示和查询产品信息，数据从运营平台同步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供应商信息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显示和查询供应商信息，数据从运营平台同步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  <w:tr>
        <w:trPr>
          <w:trHeight w:val="345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仓库信息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显示和查询仓库信息，数据从供应链同步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 w:hangingChars="0"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配置实现</w:t>
            </w:r>
          </w:p>
        </w:tc>
      </w:tr>
    </w:tbl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pBdr/>
        <w:spacing/>
        <w:ind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>十、    研发计划</w:t>
      </w:r>
    </w:p>
    <w:p>
      <w:pPr>
        <w:pBdr/>
        <w:spacing/>
        <w:ind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>当前项目组资源情况：</w:t>
      </w:r>
      <w:r>
        <w:rPr>
          <w:rFonts w:ascii="Microsoft YaHei" w:hAnsi="Microsoft YaHei" w:eastAsia="Microsoft YaHei"/>
          <w:sz w:val="21"/>
          <w:szCs w:val="21"/>
          <w:shd w:val="clear"/>
        </w:rPr>
        <w:t>java开发5名，前端开发无</w:t>
      </w:r>
    </w:p>
    <w:p>
      <w:pPr>
        <w:pBdr/>
        <w:spacing/>
        <w:ind w:hangingChars="0"/>
        <w:jc w:val="both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1"/>
          <w:szCs w:val="21"/>
          <w:shd w:val="clear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460"/>
        <w:gridCol w:w="1485"/>
        <w:gridCol w:w="1245"/>
        <w:gridCol w:w="1455"/>
        <w:gridCol w:w="1455"/>
      </w:tblGrid>
      <w:tr>
        <w:trPr>
          <w:trHeight w:val="345" w:hRule="atLeast"/>
        </w:trPr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工作内容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第一周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（6.24-6.28）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第二周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（7.1-7.5）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第三周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（7.8-7.12）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第四周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（7.15-7.19）</w:t>
            </w:r>
          </w:p>
        </w:tc>
      </w:tr>
      <w:tr>
        <w:trPr>
          <w:trHeight w:val="345" w:hRule="atLeast"/>
        </w:trPr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实体、单据及接口设计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100%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实体单据配置及开发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20%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100%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外部系统联调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30%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100%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数据准备（组织机构、人员角色权限、期初数据），系统上线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100%</w:t>
            </w:r>
          </w:p>
        </w:tc>
      </w:tr>
    </w:tbl>
    <w:p>
      <w:pPr>
        <w:spacing/>
        <w:ind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pBdr/>
        <w:spacing/>
        <w:ind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>十、    附录：基础数据字段设计</w:t>
      </w:r>
    </w:p>
    <w:p>
      <w:pPr>
        <w:pStyle w:val="a8"/>
        <w:numPr>
          <w:ilvl w:val="0"/>
          <w:numId w:val="3"/>
        </w:numPr>
        <w:pBdr/>
        <w:spacing/>
        <w:ind w:leftChars="200" w:hangingChars="200" w:firstLineChars="0"/>
        <w:jc w:val="both"/>
        <w:rPr>
          <w:rFonts w:ascii="Microsoft YaHei" w:hAnsi="Microsoft YaHei" w:eastAsia="Microsoft YaHei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>产品信息</w:t>
      </w:r>
    </w:p>
    <w:p>
      <w:pPr>
        <w:pBdr/>
        <w:spacing/>
        <w:ind w:leftChars="400"/>
        <w:jc w:val="both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1"/>
          <w:szCs w:val="21"/>
          <w:shd w:val="clear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70"/>
        <w:gridCol w:w="2070"/>
        <w:gridCol w:w="2070"/>
        <w:gridCol w:w="2070"/>
      </w:tblGrid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字段名称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显示名称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字段类型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备注</w:t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ID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主键ID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主键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产品名称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产品归属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所属运营大区</w:t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供应商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所属供应商</w:t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统计类目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保质期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生产日期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预留，知花知果产品信息中暂时没有</w:t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是否加工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决定在供应链中是否会做库存转换</w:t>
            </w:r>
          </w:p>
        </w:tc>
      </w:tr>
    </w:tbl>
    <w:p>
      <w:pPr>
        <w:spacing/>
        <w:ind w:leftChars="40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pStyle w:val="a8"/>
        <w:numPr>
          <w:ilvl w:val="0"/>
          <w:numId w:val="3"/>
        </w:numPr>
        <w:pBdr/>
        <w:spacing/>
        <w:ind w:leftChars="200" w:hangingChars="200" w:firstLineChars="0"/>
        <w:jc w:val="both"/>
        <w:rPr>
          <w:rFonts w:ascii="Microsoft YaHei" w:hAnsi="Microsoft YaHei" w:eastAsia="Microsoft YaHei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1"/>
          <w:szCs w:val="21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>供应商信息</w:t>
      </w:r>
    </w:p>
    <w:p>
      <w:pPr>
        <w:spacing/>
        <w:ind w:leftChars="400"/>
        <w:jc w:val="both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70"/>
        <w:gridCol w:w="2070"/>
        <w:gridCol w:w="2070"/>
        <w:gridCol w:w="2070"/>
      </w:tblGrid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字段名称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显示名称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字段类型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备注</w:t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ID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主键ID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主键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供应商名称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所属大区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详细地址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配送类型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采购人员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负责人姓名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手机号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银行开户姓名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开户卡号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开户行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身份证号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</w:tbl>
    <w:p>
      <w:pPr>
        <w:spacing/>
        <w:ind w:leftChars="40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pStyle w:val="a8"/>
        <w:numPr>
          <w:ilvl w:val="0"/>
          <w:numId w:val="3"/>
        </w:numPr>
        <w:pBdr/>
        <w:spacing/>
        <w:ind w:leftChars="200" w:hangingChars="200" w:firstLineChars="0"/>
        <w:jc w:val="both"/>
        <w:rPr>
          <w:rFonts w:ascii="Microsoft YaHei" w:hAnsi="Microsoft YaHei" w:eastAsia="Microsoft YaHei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1"/>
          <w:szCs w:val="21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>组织机构</w:t>
      </w:r>
    </w:p>
    <w:p>
      <w:pPr>
        <w:pStyle w:val="a8"/>
        <w:numPr>
          <w:ilvl w:val="0"/>
          <w:numId w:val="3"/>
        </w:numPr>
        <w:pBdr/>
        <w:spacing/>
        <w:ind w:leftChars="200" w:hangingChars="200" w:firstLineChars="0"/>
        <w:jc w:val="both"/>
        <w:rPr>
          <w:rFonts w:ascii="Microsoft YaHei" w:hAnsi="Microsoft YaHei" w:eastAsia="Microsoft YaHei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1"/>
          <w:szCs w:val="21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 xml:space="preserve">城市SKU </w:t>
      </w:r>
    </w:p>
    <w:p>
      <w:pPr>
        <w:pStyle w:val="a8"/>
        <w:numPr>
          <w:ilvl w:val="0"/>
          <w:numId w:val="3"/>
        </w:numPr>
        <w:pBdr/>
        <w:spacing/>
        <w:ind w:leftChars="200" w:hangingChars="200" w:firstLineChars="0"/>
        <w:jc w:val="both"/>
        <w:rPr>
          <w:rFonts w:ascii="Microsoft YaHei" w:hAnsi="Microsoft YaHei" w:eastAsia="Microsoft YaHei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1"/>
          <w:szCs w:val="21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>仓库</w:t>
      </w:r>
    </w:p>
    <w:p>
      <w:pPr>
        <w:spacing/>
        <w:ind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十一、</w:t>
      </w:r>
      <w:r>
        <w:rPr>
          <w:rFonts w:ascii="Times New Roman" w:hAnsi="Times New Roman" w:eastAsia="Times New Roman"/>
          <w:sz w:val="14"/>
          <w:szCs w:val="14"/>
        </w:rPr>
        <w:t xml:space="preserve">     </w:t>
      </w:r>
      <w:r>
        <w:rPr>
          <w:rFonts w:ascii="宋体" w:hAnsi="宋体" w:eastAsia="宋体"/>
          <w:sz w:val="21"/>
          <w:szCs w:val="21"/>
        </w:rPr>
        <w:t>附录：单据字段设计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1、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采购申请单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采购入库单</w:t>
      </w:r>
    </w:p>
    <w:p>
      <w:pPr>
        <w:pBdr/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3、</w:t>
      </w:r>
      <w:r>
        <w:rPr>
          <w:rFonts w:ascii="Times New Roman" w:hAnsi="Times New Roman" w:eastAsia="Times New Roman"/>
          <w:sz w:val="14"/>
          <w:szCs w:val="14"/>
        </w:rPr>
        <w:t xml:space="preserve">      </w:t>
      </w:r>
      <w:r>
        <w:rPr>
          <w:rFonts w:ascii="宋体" w:hAnsi="宋体" w:eastAsia="宋体"/>
          <w:sz w:val="21"/>
          <w:szCs w:val="21"/>
          <w:shd w:val="clear"/>
        </w:rPr>
        <w:t xml:space="preserve"> 采购退货出库单</w:t>
      </w:r>
    </w:p>
    <w:p>
      <w:pPr>
        <w:pBdr/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4、</w:t>
      </w:r>
      <w:r>
        <w:rPr>
          <w:rFonts w:ascii="Times New Roman" w:hAnsi="Times New Roman" w:eastAsia="Times New Roman"/>
          <w:sz w:val="14"/>
          <w:szCs w:val="14"/>
        </w:rPr>
        <w:t xml:space="preserve">      </w:t>
      </w:r>
      <w:r>
        <w:rPr>
          <w:rFonts w:ascii="宋体" w:hAnsi="宋体" w:eastAsia="宋体"/>
          <w:sz w:val="21"/>
          <w:szCs w:val="21"/>
          <w:shd w:val="clear"/>
        </w:rPr>
        <w:t xml:space="preserve"> 销售订单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5、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销售出库单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6、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退货订单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7、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退货入库单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8、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破损出库单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9、</w:t>
      </w:r>
      <w:r>
        <w:rPr>
          <w:rFonts w:ascii="Times New Roman" w:hAnsi="Times New Roman" w:eastAsia="Times New Roman"/>
          <w:sz w:val="14"/>
          <w:szCs w:val="14"/>
        </w:rPr>
        <w:t xml:space="preserve">        </w:t>
      </w:r>
      <w:r>
        <w:rPr>
          <w:rFonts w:ascii="宋体" w:hAnsi="宋体" w:eastAsia="宋体"/>
          <w:sz w:val="21"/>
          <w:szCs w:val="21"/>
        </w:rPr>
        <w:t>代付单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10、</w:t>
      </w:r>
      <w:r>
        <w:rPr>
          <w:rFonts w:ascii="Times New Roman" w:hAnsi="Times New Roman" w:eastAsia="Times New Roman"/>
          <w:sz w:val="14"/>
          <w:szCs w:val="14"/>
        </w:rPr>
        <w:t xml:space="preserve">     </w:t>
      </w:r>
      <w:r>
        <w:rPr>
          <w:rFonts w:ascii="宋体" w:hAnsi="宋体" w:eastAsia="宋体"/>
          <w:sz w:val="21"/>
          <w:szCs w:val="21"/>
        </w:rPr>
        <w:t>代收单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11、</w:t>
      </w:r>
      <w:r>
        <w:rPr>
          <w:rFonts w:ascii="Times New Roman" w:hAnsi="Times New Roman" w:eastAsia="Times New Roman"/>
          <w:sz w:val="14"/>
          <w:szCs w:val="14"/>
        </w:rPr>
        <w:t xml:space="preserve">     </w:t>
      </w:r>
      <w:r>
        <w:rPr>
          <w:rFonts w:ascii="宋体" w:hAnsi="宋体" w:eastAsia="宋体"/>
          <w:sz w:val="21"/>
          <w:szCs w:val="21"/>
        </w:rPr>
        <w:t>应收单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12、</w:t>
      </w:r>
      <w:r>
        <w:rPr>
          <w:rFonts w:ascii="Times New Roman" w:hAnsi="Times New Roman" w:eastAsia="Times New Roman"/>
          <w:sz w:val="14"/>
          <w:szCs w:val="14"/>
        </w:rPr>
        <w:t xml:space="preserve">     </w:t>
      </w:r>
      <w:r>
        <w:rPr>
          <w:rFonts w:ascii="宋体" w:hAnsi="宋体" w:eastAsia="宋体"/>
          <w:sz w:val="21"/>
          <w:szCs w:val="21"/>
        </w:rPr>
        <w:t>收款单</w:t>
      </w:r>
    </w:p>
    <w:p>
      <w:pPr>
        <w:spacing/>
        <w:ind w:leftChars="20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13、</w:t>
      </w:r>
      <w:r>
        <w:rPr>
          <w:rFonts w:ascii="Times New Roman" w:hAnsi="Times New Roman" w:eastAsia="Times New Roman"/>
          <w:sz w:val="14"/>
          <w:szCs w:val="14"/>
        </w:rPr>
        <w:t xml:space="preserve">     </w:t>
      </w:r>
      <w:r>
        <w:rPr>
          <w:rFonts w:ascii="宋体" w:hAnsi="宋体" w:eastAsia="宋体"/>
          <w:sz w:val="21"/>
          <w:szCs w:val="21"/>
        </w:rPr>
        <w:t>佣金单</w:t>
      </w:r>
    </w:p>
    <w:p>
      <w:pPr>
        <w:spacing/>
        <w:ind w:leftChars="200" w:hangingChars="0"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leftChars="0" w:hangingChars="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十二、</w:t>
      </w:r>
      <w:r>
        <w:rPr>
          <w:rFonts w:ascii="Times New Roman" w:hAnsi="Times New Roman" w:eastAsia="Times New Roman"/>
          <w:sz w:val="14"/>
          <w:szCs w:val="14"/>
        </w:rPr>
        <w:t xml:space="preserve">     </w:t>
      </w:r>
      <w:r>
        <w:rPr>
          <w:rFonts w:ascii="宋体" w:hAnsi="宋体" w:eastAsia="宋体"/>
          <w:sz w:val="21"/>
          <w:szCs w:val="21"/>
        </w:rPr>
        <w:t>附录：外部系统接口及消息设计</w:t>
      </w:r>
    </w:p>
    <w:p>
      <w:pPr>
        <w:spacing/>
        <w:ind w:hanging="7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left="1440" w:firstLine="0"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/>
      </w:r>
    </w:p>
    <w:sectPr w:rsidR="00C604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、"/>
      <w:lvlJc w:val="left"/>
      <w:pPr>
        <w:ind w:left="227" w:hanging="227"/>
      </w:pPr>
      <w:rPr>
        <w:rFonts w:ascii="Microsoft YaHei" w:hAnsi="Microsoft YaHei" w:eastAsia="Microsoft YaHei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、"/>
      <w:lvlJc w:val="left"/>
      <w:pPr>
        <w:ind w:left="227" w:hanging="227"/>
      </w:pPr>
      <w:rPr>
        <w:rFonts w:ascii="Times New Roman" w:hAnsi="Times New Roman" w:eastAsia="Times New Roman"/>
        <w:sz w:val="14"/>
        <w:szCs w:val="1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chineseCountingThousand"/>
      <w:lvlText w:val="%1、"/>
      <w:lvlJc w:val="left"/>
      <w:pPr>
        <w:ind w:left="227" w:hanging="227"/>
      </w:pPr>
      <w:rPr>
        <w:rFonts w:ascii="宋体" w:hAnsi="宋体" w:eastAsia="宋体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