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Noto Sans CJK SC" w:hAnsi="Noto Sans CJK SC" w:eastAsia="Noto Sans CJK SC"/>
          <w:b/>
          <w:color w:val="103752"/>
          <w:sz w:val="60"/>
        </w:rPr>
        <w:t>新能源经营分析智能平台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A7E73"/>
          <w:sz w:val="48"/>
        </w:rPr>
        <w:t>V2 产品化优化与快速落地实施方案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color w:val="445D6B"/>
          <w:sz w:val="25"/>
        </w:rPr>
        <w:t>界面体验重构 · 业务能力闭环 · 灵活数据接入 · 场景包扩展 · 私有化上线</w:t>
      </w:r>
    </w:p>
    <w:p>
      <w:pPr>
        <w:spacing w:after="36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4720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product_blue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72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DDEBF3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5435B"/>
                <w:sz w:val="21"/>
              </w:rPr>
              <w:t>文档版本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44E"/>
                <w:sz w:val="21"/>
              </w:rPr>
              <w:t>v1.0</w:t>
            </w:r>
          </w:p>
        </w:tc>
      </w:tr>
      <w:tr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DDEBF3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5435B"/>
                <w:sz w:val="21"/>
              </w:rPr>
              <w:t>文档状态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44E"/>
                <w:sz w:val="21"/>
              </w:rPr>
              <w:t>下一阶段执行基线 / 待批准</w:t>
            </w:r>
          </w:p>
        </w:tc>
      </w:tr>
      <w:tr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DDEBF3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5435B"/>
                <w:sz w:val="21"/>
              </w:rPr>
              <w:t>项目负责人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44E"/>
                <w:sz w:val="21"/>
              </w:rPr>
              <w:t>王迎港</w:t>
            </w:r>
          </w:p>
        </w:tc>
      </w:tr>
      <w:tr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DDEBF3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5435B"/>
                <w:sz w:val="21"/>
              </w:rPr>
              <w:t>当前项目状态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44E"/>
                <w:sz w:val="21"/>
              </w:rPr>
              <w:t>产品级 Alpha（模拟数据、本地 Docker Compose 边界）</w:t>
            </w:r>
          </w:p>
        </w:tc>
      </w:tr>
      <w:tr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DDEBF3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5435B"/>
                <w:sz w:val="21"/>
              </w:rPr>
              <w:t>建议优化周期</w:t>
            </w:r>
          </w:p>
        </w:tc>
        <w:tc>
          <w:tcPr>
            <w:tcW w:type="dxa" w:w="4252"/>
            <w:tcMar>
              <w:top w:w="100" w:type="dxa"/>
              <w:start w:w="130" w:type="dxa"/>
              <w:bottom w:w="100" w:type="dxa"/>
              <w:end w:w="130" w:type="dxa"/>
            </w:tcMar>
            <w:shd w:fill="FFFFFF"/>
            <w:tcBorders>
              <w:top w:val="single" w:sz="4" w:color="AFC2CE"/>
              <w:left w:val="single" w:sz="4" w:color="AFC2CE"/>
              <w:bottom w:val="single" w:sz="4" w:color="AFC2CE"/>
              <w:right w:val="single" w:sz="4" w:color="AFC2C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44E"/>
                <w:sz w:val="21"/>
              </w:rPr>
              <w:t>8–13 个有效开发日完成 P0；P1/P2 后续迭代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t>文档控制与执行说明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814"/>
            <w:shd w:fill="2B6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2B6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文档目的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将当前 Alpha 从“工程可运行”推进为“业务可用、体验成熟、可接入、可上线、可扩展”的产品版本，并形成可由 Codex 分阶段连续实施的优化基线。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当前判断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工程可信度已经具备；下一阶段主要矛盾是业务体验、信息架构、专题分析差异化、数据接入配置、场景抽象和上线运维。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核心原则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不推翻现有后端合同；业务价值优先；业务视图与技术证据分层；换客户尽量不改核心代码；换场景通过场景包扩展。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真实性边界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现阶段仍以模拟数据和本地/私有化部署验证为主。不得宣称真实企业生产上线、真实客户使用或真实经营收益。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变更规则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新增需求必须说明业务价值、优先级、依赖、验收标准和替换工时；P0范围外需求进入待办，不得中途插入主线。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执行方式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快速落地模式：阶段自主实现、自动测试、自动修复、独立提交；仅在安全、数据合同或不可回滚风险触发时暂停。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7867B"/>
              <w:left w:val="single" w:sz="18" w:color="27867B"/>
              <w:bottom w:val="single" w:sz="8" w:color="27867B"/>
              <w:right w:val="single" w:sz="8" w:color="27867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5652"/>
                <w:sz w:val="22"/>
              </w:rPr>
              <w:t>执行结论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73F"/>
                <w:sz w:val="20"/>
              </w:rPr>
              <w:t>当前不需要继续堆功能，也不适合只做“换皮美化”。下一阶段应同时完成三条主线：①业务体验 V2；②数据接入与映射 V1；③充电运营场景包与私有化上线基线。P0 建议控制在 8–13 个有效开发日。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目录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1. 当前项目基线与下一阶段目标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2. 当前界面与功能问题综合诊断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3. V2 产品定位与总体优化原则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4. 目标产品架构与信息架构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5. 业务界面与交互体验详细优化方案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6. 功能闭环与业务能力优化方案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7. 多数据源接入、标准对象与场景包设计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8. 技术架构与上线能力优化要求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9. 快速落地阶段计划与优先级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10. 详细工作分解与交付物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11. 测试、验收与发布标准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12. Codex 执行方式与 Token 控制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13. 风险、范围控制与停止条件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附录 A：P0 优化验收清单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b w:val="0"/>
          <w:color w:val="2A4251"/>
          <w:sz w:val="20"/>
        </w:rPr>
        <w:t>附录 B：后续 P1/P2 路线图</w:t>
      </w:r>
    </w:p>
    <w:p>
      <w:pPr>
        <w:pStyle w:val="Heading1"/>
        <w:keepNext/>
        <w:spacing w:before="200" w:after="100"/>
      </w:pPr>
      <w:r>
        <w:t>1. 当前项目基线与下一阶段目标</w:t>
      </w:r>
    </w:p>
    <w:p>
      <w:pPr>
        <w:pStyle w:val="Heading2"/>
        <w:keepNext/>
        <w:spacing w:before="140" w:after="100"/>
      </w:pPr>
      <w:r>
        <w:t>1.1 已完成且必须保留的 Alpha 能力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当前项目已经达到模拟数据、本地 Docker Compose 边界内的产品级 Alpha：具备认证/RBAC、15 项经营指标、经营驾驶舱、可信 ChatBI、短期结构化记忆、异常与经营拆解、报告草稿、审计、迁移、测试评测和可复现部署能力。下一阶段应在不破坏这些能力的前提下优化。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3969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94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下一阶段要求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工程基座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Docker Compose、API、Web、PostgreSQL、Redis、Alembic、配置与健康检查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保留并作为回归底线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数据与指标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固定 seed 模拟数据、30 万充电会话、15 项指标、20 条数据质量规则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保留口径，不在 P0 扩指标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可信 ChatBI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Query Plan、确定性 SQL、Query/Answer Guard、40 条评测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保留证据链，重做业务交互呈现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经营分析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收入、毛利、场站、设备、异常和贡献拆解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深化页面差异化和决策闭环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记忆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工作记忆、短期结构化会话、多轮继承、analysis_run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保留 P0 边界；长期记忆仍属后续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报告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月报草稿、Markdown/CSV 导出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升级为可视化预览和人工确认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安全与测试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33 后端测试、前端构建、E2E、危险 SQL 拒绝、迁移循环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任何重构后必须全量继续通过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1.2 当前阶段的主要矛盾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页面更像工程验收控制台，而不是经营负责人和区域运营经理日常使用的业务产品。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首页和专题页主要展示数字，没有形成“发生什么—为什么—影响哪里—先做什么”的决策闭环。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收入、毛利、场站、设备页面高度同质化，缺少专属分析逻辑。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ChatBI、异常和报告页面技术信息暴露过多，业务结果呈现不足。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当前数据模型和页面仍以固定模拟数据为主，缺少可配置数据源、字段映射、同步和质量管理入口。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充电业务逻辑尚未完全抽离为场景包，换客户和换场景仍可能修改核心代码。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本地 Docker 可运行不等于可上线长期使用，仍需补齐反向代理、HTTPS、备份恢复、监控和发布流程。</w:t>
      </w:r>
    </w:p>
    <w:p>
      <w:pPr>
        <w:pStyle w:val="Heading2"/>
        <w:keepNext/>
        <w:spacing w:before="140" w:after="100"/>
      </w:pPr>
      <w:r>
        <w:t>1.3 下一阶段目标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47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目标编号</w:t>
            </w:r>
          </w:p>
        </w:tc>
        <w:tc>
          <w:tcPr>
            <w:tcW w:type="dxa" w:w="192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216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验收定义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G-V2-01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业务体验成熟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经营负责人进入首页 30 秒内理解经营状态、前三项风险和优先行动。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G-V2-02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专题分析差异化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收入、毛利、场站、设备页面分别形成独立分析逻辑，而非统一模板换指标。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G-V2-03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可信能力不降级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技术证据默认折叠但完整保留；所有数字继续可追溯。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G-V2-04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客户数据可接入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至少支持 CSV/Excel 与 PostgreSQL，完成发现、映射、质量、试运行、发布。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G-V2-05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充电场景可安装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将现有 15 项指标、页面、规则、问题集、报告模板抽离为 charging_ops 场景包。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G-V2-06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具备私有化上线基线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完成单客户独立实例、HTTPS、备份恢复、日志监控、升级回滚和安装引导。</w:t>
            </w:r>
          </w:p>
        </w:tc>
      </w:tr>
      <w:tr>
        <w:tc>
          <w:tcPr>
            <w:tcW w:type="dxa" w:w="14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G-V2-07</w:t>
            </w:r>
          </w:p>
        </w:tc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快速交付</w:t>
            </w:r>
          </w:p>
        </w:tc>
        <w:tc>
          <w:tcPr>
            <w:tcW w:type="dxa" w:w="52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P0 在 8–13 个有效开发日内完成，避免范围扩散。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2. 当前界面与功能问题综合诊断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以下诊断基于当前经营总览、收入、毛利、场站、设备、异常、可信问数和报告草稿截图。截图表明系统已经具备真实后端链路和证据标识，但页面的业务层级、信息密度、交互闭环和视觉一致性仍不足。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9529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ui_coll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5A6973"/>
          <w:sz w:val="18"/>
        </w:rPr>
        <w:t>图 1：经营总览、收入、毛利、场站页面现状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95299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ui_coll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5A6973"/>
          <w:sz w:val="18"/>
        </w:rPr>
        <w:t>图 2：设备、异常、可信问数、报告页面现状</w:t>
      </w:r>
    </w:p>
    <w:p>
      <w:pPr>
        <w:pStyle w:val="Heading2"/>
        <w:keepNext/>
        <w:spacing w:before="140" w:after="100"/>
      </w:pPr>
      <w:r>
        <w:t>2.1 全局问题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4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问题域</w:t>
            </w:r>
          </w:p>
        </w:tc>
        <w:tc>
          <w:tcPr>
            <w:tcW w:type="dxa" w:w="3572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当前表现</w:t>
            </w:r>
          </w:p>
        </w:tc>
        <w:tc>
          <w:tcPr>
            <w:tcW w:type="dxa" w:w="362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优化方向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信息架构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左侧菜单按技术模块平铺；业务用户需要按经营任务进入。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重组为经营工作台、经营洞察、经营预警、AI经营分析、经营报告、管理控制台。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业务表达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大量英文 metric_id、run_id、hash、Guard 直接暴露。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业务视图默认中文结论；技术证据放抽屉或分析师模式。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数字表达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金额、电量、订单使用长数字且单位弱。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默认用万元、万 kWh、万单；悬浮显示完整值。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图表质量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趋势图面积大但信息少，缺比较期、目标线、异常点、单位。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所有图表必须有业务结论、单位、比较期、完整时间轴和异常标注。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页面同质化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收入、毛利、场站、设备共享相同模板。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每个专题页建立专属分析模型和专属图表。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交互闭环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缺少下钻、联动、推荐追问、保存、报告转化。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常用任务 3 步内完成；结果可进入异常、专题、AI追问和报告。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状态设计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数据不足、延迟、错误和无权限表达简陋。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建立统一状态组件，说明原因、影响和可执行动作。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视觉层级</w:t>
            </w:r>
          </w:p>
        </w:tc>
        <w:tc>
          <w:tcPr>
            <w:tcW w:type="dxa" w:w="35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空白过大、卡片重复、所有元素同一绿色。</w:t>
            </w:r>
          </w:p>
        </w:tc>
        <w:tc>
          <w:tcPr>
            <w:tcW w:type="dxa" w:w="36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建立设计 Token、语义颜色和响应式布局。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2.2 分页面问题摘要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4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402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379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核心改造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经营总览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只有 KPI、单一趋势和排名；未告诉用户当前最重要的问题。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增加经营摘要、目标差距、变化贡献、优先问题和重点场站。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收入分析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缺少订单量×单均电量×度电收入拆解，页面与首页高度相似。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构建收入桥接、区域/站点贡献、用户与订单结构分析。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毛利分析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成本与收入仅以 KPI 罗列，未形成毛利桥接和成本结构。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构建收入、电费成本、运营成本、峰谷结构和低毛利站点分析。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场站分析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只展示利用率和收入排名，无法判断场站质量。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增加四象限、健康分层、同群对比、潜力/治理清单。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设备分析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没有设备故障类型、离线时长、经营影响和维修优先级。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增加设备健康、故障 Pareto、影响订单/收入、重复故障与优先级。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异常诊断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显示英文因素和“未触发”规则；缺少处置优先级。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改为异常任务列表、影响金额、对象、状态、建议和证据。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可信问数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像测试台；缺推荐问题、图表、下一步行动；证据面板过重。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改为 AI 经营分析，业务结果主导，证据按需展开。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报告草稿</w:t>
            </w:r>
          </w:p>
        </w:tc>
        <w:tc>
          <w:tcPr>
            <w:tcW w:type="dxa" w:w="340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默认显示 Markdown 源码，不像管理报告。</w:t>
            </w:r>
          </w:p>
        </w:tc>
        <w:tc>
          <w:tcPr>
            <w:tcW w:type="dxa" w:w="37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改为可视化预览、人工编辑确认、版本与导出。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3. V2 产品定位与总体优化原则</w:t>
      </w:r>
    </w:p>
    <w:p>
      <w:pPr>
        <w:pStyle w:val="Heading2"/>
        <w:keepNext/>
        <w:spacing w:before="140" w:after="100"/>
      </w:pPr>
      <w:r>
        <w:t>3.1 产品定位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7867B"/>
              <w:left w:val="single" w:sz="18" w:color="27867B"/>
              <w:bottom w:val="single" w:sz="8" w:color="27867B"/>
              <w:right w:val="single" w:sz="8" w:color="27867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5652"/>
                <w:sz w:val="22"/>
              </w:rPr>
              <w:t>V2 一句话定位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73F"/>
                <w:sz w:val="20"/>
              </w:rPr>
              <w:t>面向新能源运营企业的可配置 AI 经营分析平台：通过标准连接器、业务对象映射、指标语义层和可安装场景包，把分散数据转化为可追溯的经营洞察、异常优先级和管理报告。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5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86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 定位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行业定位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新能源运营与经营分析，首套场景为充电运营。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产品定位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AI 增强 BI 与经营决策辅助产品，不做通用低代码 BI 替代品。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技术定位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平台内核 + 连接器/映射 + 指标语义层 + 场景包 + 可信 ChatBI。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部署定位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近期优先单客户独立实例、私有化部署；后续再考虑共享 SaaS 多租户。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扩展定位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换客户通过数据映射适配；换场景通过场景包适配。</w:t>
            </w:r>
          </w:p>
        </w:tc>
      </w:tr>
      <w:tr>
        <w:tc>
          <w:tcPr>
            <w:tcW w:type="dxa" w:w="175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求职定位</w:t>
            </w:r>
          </w:p>
        </w:tc>
        <w:tc>
          <w:tcPr>
            <w:tcW w:type="dxa" w:w="68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证明新能源业务、数据分析、AI产品、工程落地和产品化能力。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3.2 七项优化原则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一页解决一个业务决策：每个页面必须明确回答一个经营问题。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业务默认、证据按需：普通用户先看结论和行动，分析师再展开口径、Query Plan、SQL 和 run_id。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数据事实高于记忆和模型：实时数据库与指标语义层始终是当前事实源。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配置与代码分层：简单指标和页面配置化，复杂归因与计算插件化。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换客户不改核心：通过连接器、映射、标准对象和数据集发布适配。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换场景不重建系统：通过场景包加载指标、页面、规则、问题集和报告模板。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快速落地但不牺牲结果：不减少测试、证据和回滚，只减少重复评审和冗长文档。</w:t>
      </w:r>
    </w:p>
    <w:p>
      <w:pPr>
        <w:pStyle w:val="Heading2"/>
        <w:keepNext/>
        <w:spacing w:before="140" w:after="100"/>
      </w:pPr>
      <w:r>
        <w:t>3.3 两类用户空间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</w:trPr>
        <w:tc>
          <w:tcPr>
            <w:tcW w:type="dxa" w:w="158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空间</w:t>
            </w:r>
          </w:p>
        </w:tc>
        <w:tc>
          <w:tcPr>
            <w:tcW w:type="dxa" w:w="198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核心用户</w:t>
            </w:r>
          </w:p>
        </w:tc>
        <w:tc>
          <w:tcPr>
            <w:tcW w:type="dxa" w:w="294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</w:t>
            </w:r>
          </w:p>
        </w:tc>
        <w:tc>
          <w:tcPr>
            <w:tcW w:type="dxa" w:w="209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展示原则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业务工作台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经营负责人、区域经理、经营分析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经营状态、变化原因、重点对象、预警、AI分析、报告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默认隐藏 SQL、hash、Guard、英文 metric_id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管理控制台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数据管理员、指标负责人、系统管理员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数据源、映射、同步、质量、指标、场景、权限、审计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展示完整技术与治理信息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4. 目标产品架构与信息架构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82291"/>
            <wp:docPr id="4" name="Picture 4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product_blue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5A6973"/>
          <w:sz w:val="18"/>
        </w:rPr>
        <w:t>图 3：目标产品架构</w:t>
      </w:r>
    </w:p>
    <w:p>
      <w:pPr>
        <w:pStyle w:val="Heading2"/>
        <w:keepNext/>
        <w:spacing w:before="140" w:after="100"/>
      </w:pPr>
      <w:r>
        <w:t>4.1 平台内核与场景包边界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819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9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平台内核</w:t>
            </w:r>
          </w:p>
        </w:tc>
        <w:tc>
          <w:tcPr>
            <w:tcW w:type="dxa" w:w="481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认证/RBAC、组织、数据源、同步、质量、标准对象、指标框架、Query Plan、SQL Guard、Answer Guard、记忆、报告、审计、运行管理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所有客户和场景共用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充电运营场景包</w:t>
            </w:r>
          </w:p>
        </w:tc>
        <w:tc>
          <w:tcPr>
            <w:tcW w:type="dxa" w:w="481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充电业务对象、15项指标、同义词、专题页面、异常规则、收入/毛利拆解、推荐问题、报告模板、评测集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P0 必须抽离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第二场景验证包</w:t>
            </w:r>
          </w:p>
        </w:tc>
        <w:tc>
          <w:tcPr>
            <w:tcW w:type="dxa" w:w="481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储能运营最小场景：5–8项指标、2个页面、少量规则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P1 用于证明扩展机制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客户配置</w:t>
            </w:r>
          </w:p>
        </w:tc>
        <w:tc>
          <w:tcPr>
            <w:tcW w:type="dxa" w:w="481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数据源连接、字段映射、单位/枚举转换、组织与权限、阈值、品牌、默认时间与区域</w:t>
            </w:r>
          </w:p>
        </w:tc>
        <w:tc>
          <w:tcPr>
            <w:tcW w:type="dxa" w:w="209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按客户保存和版本化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4.2 目标信息架构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5" name="Picture 5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informatio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5A6973"/>
          <w:sz w:val="18"/>
        </w:rPr>
        <w:t>图 4：目标信息架构</w:t>
      </w:r>
    </w:p>
    <w:p>
      <w:pPr>
        <w:pStyle w:val="Heading1"/>
        <w:keepNext/>
        <w:spacing w:before="200" w:after="100"/>
      </w:pPr>
      <w:r>
        <w:t>5. 业务界面与交互体验详细优化方案</w:t>
      </w:r>
    </w:p>
    <w:p>
      <w:pPr>
        <w:pStyle w:val="Heading2"/>
        <w:keepNext/>
        <w:spacing w:before="140" w:after="100"/>
      </w:pPr>
      <w:r>
        <w:t>5.1 设计系统与全局框架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设计域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布局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内容最大宽度约 1440px；页面边距 24px；卡片间距 16px；减少无效空白。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导航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左侧一级模块 + 可折叠二级导航；支持面包屑、页面标题和当前筛选摘要。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颜色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主色深青；正向绿；提醒橙；严重红；中性灰蓝。禁止所有图表和按钮同一绿色。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数字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金额默认万元；电量默认万 kWh；订单默认万单；比例 1 位小数；明细悬浮显示原值。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状态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统一正常、空态、数据不足、延迟、错误、无权限、加载中骨架。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证据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模拟数据、数据时间和来源保持可见；run_id、SQL、Guard 放证据抽屉。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响应式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至少覆盖 1366、1440、1920 宽度；不出现横向滚动和关键内容裁切。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可访问性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颜色不能作为唯一信息；表格表头、键盘焦点、对比度和图表说明符合基本可访问性。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5.2 经营工作台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核心问题：现在经营得怎么样，先处理什么？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58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365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优化内容</w:t>
            </w:r>
          </w:p>
        </w:tc>
        <w:tc>
          <w:tcPr>
            <w:tcW w:type="dxa" w:w="2665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本期经营摘要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基于结构化结果生成 2–4 句摘要：收入/毛利表现、主要变化、重点对象、建议优先级。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无未查询数字；摘要可点击进入对应专题。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核心 KPI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收入、毛利、毛利率、充电量、订单、在线率；显示当前值、环比/同比、目标差距、状态、迷你趋势。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数字与专题页一致；单位统一。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经营趋势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当前期 vs 比较期、目标线、异常点、完整时间轴。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筛选范围与图表一致。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变化贡献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收入与毛利贡献拆解，显示金额和贡献率。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贡献合计可对账或解释残差。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问题优先级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异常、影响金额、对象、持续时间、状态、推荐行动。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首页至少显示前三项。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重点场站</w:t>
            </w:r>
          </w:p>
        </w:tc>
        <w:tc>
          <w:tcPr>
            <w:tcW w:type="dxa" w:w="43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收入、环比、毛利率、利用率、在线率、风险综合表。</w:t>
            </w:r>
          </w:p>
        </w:tc>
        <w:tc>
          <w:tcPr>
            <w:tcW w:type="dxa" w:w="266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支持下钻场站详情或专题。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5.3 收入与订单分析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核心问题：收入为什么变化，哪些区域、场站、用户和订单因素贡献最大？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页面结构：收入结果 → 趋势 → 订单量 × 单均电量 × 度电收入拆解 → 区域/场站贡献 → 用户与订单结构 → 建议。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图表：收入趋势、量价桥接、区域贡献瀑布、场站变化表、订单时段分布。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交互：点击贡献因素自动带条件进入 AI 经营分析或场站明细。</w:t>
      </w:r>
    </w:p>
    <w:p>
      <w:pPr>
        <w:pStyle w:val="Heading2"/>
        <w:keepNext/>
        <w:spacing w:before="140" w:after="100"/>
      </w:pPr>
      <w:r>
        <w:t>5.4 毛利与成本分析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核心问题：毛利被收入、电费成本还是运营成本拖累？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页面结构：毛利结果 → 毛利桥接 → 收入变化 → 电费成本 → 可变运营成本 → 峰谷成本结构 → 低毛利场站 → 优化建议。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明确区分“成本增加”与“毛利影响”，所有业务标签使用中文。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关键表格同时展示金额、环比、贡献和场站/区域。</w:t>
      </w:r>
    </w:p>
    <w:p>
      <w:pPr>
        <w:pStyle w:val="Heading2"/>
        <w:keepNext/>
        <w:spacing w:before="140" w:after="100"/>
      </w:pPr>
      <w:r>
        <w:t>5.5 场站经营分析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核心问题：哪些场站值得扩大、改善或重点治理？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使用四象限：横轴利用率、纵轴毛利率、气泡大小收入、颜色风险等级。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场站分层：优质场站、成本优化、增长潜力、重点治理。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增加同群对比、开业时长、区域、站型和设备健康解释。</w:t>
      </w:r>
    </w:p>
    <w:p>
      <w:pPr>
        <w:pStyle w:val="Heading2"/>
        <w:keepNext/>
        <w:spacing w:before="140" w:after="100"/>
      </w:pPr>
      <w:r>
        <w:t>5.6 设备健康分析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核心问题：哪些设备最影响经营，先修什么？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核心模块：设备健康概览、故障类型 Pareto、离线时长、重复故障、受影响订单/收入、维修优先级。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数据不足时给出原因和建议，不连续展示多行“数据不足”。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设备指标与经营影响关联只标记相关性，除非有充分因果证据。</w:t>
      </w:r>
    </w:p>
    <w:p>
      <w:pPr>
        <w:pStyle w:val="Heading2"/>
        <w:keepNext/>
        <w:spacing w:before="140" w:after="100"/>
      </w:pPr>
      <w:r>
        <w:t>5.7 经营预警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入口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“异常诊断”改名为“经营预警”。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默认页面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按高/中/低优先级展示异常任务，不展示未触发规则。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列表字段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异常、影响指标、影响金额、区域/场站、持续时间、状态、负责人、建议。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详情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变化趋势、贡献因素、关联事件、规则、数据质量、证据、人工确认。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状态流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待确认 → 已确认 → 处理中 → 已恢复 / 已忽略。P0 可先做最小状态。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边界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建议标记为供人工决策，不自动下发生产控制。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5.8 AI 经营分析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名称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“可信问数”改名为“AI经营分析”，技术可信能力保持不变。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首页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欢迎语、推荐问题、最近分析、当前数据范围和可用场景。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结果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业务结论、核心数字、图表/表格、重点对象、建议行动、限制说明。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多轮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显示当前生效的指标、时间、区域和站点；新条件覆盖旧条件。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推荐追问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例如“哪些站点影响最大”“设备在线率是否相关”“生成月报摘要”。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证据抽屉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指标口径、Query Plan、SQL、数据来源、run_id、Guard结果。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双视图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业务视图默认；分析师视图可展示完整技术证据。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5.9 经营报告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默认显示渲染后的报告预览，不显示 Markdown 源码。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报告结构：管理摘要、核心指标、趋势、异常、原因、重点场站、建议、数据说明、免责声明。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支持人工编辑、确认、版本保存和导出；Markdown/CSV 保留为次级导出。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P1 增加原生 DOCX/PDF；P0 先完成 HTML/打印友好页面。</w:t>
      </w:r>
    </w:p>
    <w:p>
      <w:pPr>
        <w:pStyle w:val="Heading1"/>
        <w:keepNext/>
        <w:spacing w:before="200" w:after="100"/>
      </w:pPr>
      <w:r>
        <w:t>6. 功能闭环与业务能力优化方案</w:t>
      </w:r>
    </w:p>
    <w:p>
      <w:pPr>
        <w:pStyle w:val="Heading2"/>
        <w:keepNext/>
        <w:spacing w:before="140" w:after="100"/>
      </w:pPr>
      <w:r>
        <w:t>6.1 从“展示数据”升级为“决策闭环”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发现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工作台主动展示变化、异常和重点对象。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解释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专题分析和 AI 经营分析给出贡献拆解和相关因素。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定位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下钻到区域、场站、设备、用户群或成本项。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行动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给出优先级、适用条件、风险和下一步建议。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复盘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保存 analysis_run、人工确认、报告版本和恢复状态。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6.2 全局筛选与下钻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统一时间、区域、城市、运营商、场站筛选；页面间传递条件。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筛选条件摘要始终可见，导出和报告继承相同条件。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从工作台 KPI、趋势异常点、贡献条和场站表可进入对应详情。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浏览器返回或面包屑应保留上下文。</w:t>
      </w:r>
    </w:p>
    <w:p>
      <w:pPr>
        <w:pStyle w:val="Heading2"/>
        <w:keepNext/>
        <w:spacing w:before="140" w:after="100"/>
      </w:pPr>
      <w:r>
        <w:t>6.3 经营指标与目标值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15 项指标继续使用唯一语义层，禁止在页面复制计算逻辑。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增加目标值/预算值配置接口和展示，但不改变指标公式。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指标说明改为点击图标查看：定义、公式、单位、时间字段、版本和数据质量。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所有对比必须明确当前期、比较期和比较方式。</w:t>
      </w:r>
    </w:p>
    <w:p>
      <w:pPr>
        <w:pStyle w:val="Heading2"/>
        <w:keepNext/>
        <w:spacing w:before="140" w:after="100"/>
      </w:pPr>
      <w:r>
        <w:t>6.4 记忆与个性化边界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P0 保留工作记忆、短期会话和 analysis_run；优化多轮条件可视化。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个人默认时间、区域、图表和报告详细度进入 P1。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历史分析案例和纠错记忆进入 P1，必须带数据时间、来源、状态和权限。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组织指标、阈值和区域定义只能管理员审批发布。</w:t>
      </w:r>
    </w:p>
    <w:p>
      <w:pPr>
        <w:pStyle w:val="Heading1"/>
        <w:keepNext/>
        <w:spacing w:before="200" w:after="100"/>
      </w:pPr>
      <w:r>
        <w:t>7. 多数据源接入、标准对象与场景包设计</w:t>
      </w:r>
    </w:p>
    <w:p>
      <w:pPr>
        <w:pStyle w:val="Heading2"/>
        <w:keepNext/>
        <w:spacing w:before="140" w:after="100"/>
      </w:pPr>
      <w:r>
        <w:t>7.1 数据接入中心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</w:trPr>
        <w:tc>
          <w:tcPr>
            <w:tcW w:type="dxa" w:w="124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13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535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能力范围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文件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CSV、Excel、ZIP批量文件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P0</w:t>
            </w:r>
          </w:p>
        </w:tc>
        <w:tc>
          <w:tcPr>
            <w:tcW w:type="dxa" w:w="45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上传、预览、字段类型识别、映射、质量检查、发布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数据库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PostgreSQL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P0</w:t>
            </w:r>
          </w:p>
        </w:tc>
        <w:tc>
          <w:tcPr>
            <w:tcW w:type="dxa" w:w="45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测试连接、Schema发现、全量同步、时间字段增量、只读账户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数据库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MySQL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P1</w:t>
            </w:r>
          </w:p>
        </w:tc>
        <w:tc>
          <w:tcPr>
            <w:tcW w:type="dxa" w:w="45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与 PostgreSQL 使用统一 Connector 契约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API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REST API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P1</w:t>
            </w:r>
          </w:p>
        </w:tc>
        <w:tc>
          <w:tcPr>
            <w:tcW w:type="dxa" w:w="45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认证、分页、时间游标、重试、限流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实时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CDC/Kafka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P2</w:t>
            </w:r>
          </w:p>
        </w:tc>
        <w:tc>
          <w:tcPr>
            <w:tcW w:type="dxa" w:w="453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仅在真实需求和稳定基础后考虑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7.2 标准 Connector 契约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每种数据源必须实现统一能力，后续指标和 ChatBI 只依赖发布后的标准数据集，不直接依赖客户源表。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238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6236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test_connection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验证连接、权限、网络和最小查询。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discover_schema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发现表、字段、类型、主键和时间字段候选。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preview_data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返回受限样例并执行敏感字段识别。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full_sync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全量同步并生成 batch_id/run_id。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incremental_sync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依据 checkpoint 增量同步。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validate_checkpoint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检查增量游标连续性。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health_check</w:t>
            </w:r>
          </w:p>
        </w:tc>
        <w:tc>
          <w:tcPr>
            <w:tcW w:type="dxa" w:w="62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连接器运行状态与失败原因。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7.3 数据映射中心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81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6803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源对象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源表/文件/API节点、源字段、类型和示例值。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标准对象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映射到 Station、Device、User、ChargingSession、EnergyCost 等。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转换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类型、单位、枚举、时区、金额分/元、Wh/kWh。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主键与增量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业务主键、去重键、业务时间、更新时间、checkpoint。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空值策略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拒绝、保留、默认值、映射失败隔离。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敏感等级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用户标识、手机号等字段的脱敏和权限。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发布流程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试运行 → 质量检查 → 人工确认 → 发布数据集 → 定时刷新。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7.4 标准业务对象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P0 标准对象：Organization、Region、City、Station、Device、User、ChargingSession、EnergyCost、OperatingExpense、DeviceStatusEvent、Target、MetricDefinition、AnalysisRun。不同客户的数据先映射到标准对象，再进入指标、页面和 ChatBI。</w:t>
      </w:r>
    </w:p>
    <w:p>
      <w:pPr>
        <w:pStyle w:val="Heading2"/>
        <w:keepNext/>
        <w:spacing w:before="140" w:after="100"/>
      </w:pPr>
      <w:r>
        <w:t>7.5 指标配置与插件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53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94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4139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配置型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求和、计数、去重计数、平均、简单比率、简单派生</w:t>
            </w:r>
          </w:p>
        </w:tc>
        <w:tc>
          <w:tcPr>
            <w:tcW w:type="dxa" w:w="41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YAML/数据库配置，支持版本、维度、同义词和基准 SQL。</w:t>
            </w:r>
          </w:p>
        </w:tc>
      </w:tr>
      <w:tr>
        <w:tc>
          <w:tcPr>
            <w:tcW w:type="dxa" w:w="153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插件型</w:t>
            </w:r>
          </w:p>
        </w:tc>
        <w:tc>
          <w:tcPr>
            <w:tcW w:type="dxa" w:w="29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利用率、在线率、毛利桥接、收入拆解、同群比较、复杂时间窗口</w:t>
            </w:r>
          </w:p>
        </w:tc>
        <w:tc>
          <w:tcPr>
            <w:tcW w:type="dxa" w:w="413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代码插件，必须有单元测试、版本和发布记录。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7.6 charging_ops 场景包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manifest：场景 ID、版本、所需对象、可选对象和启用能力。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metrics：15 项核心指标及版本。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dashboards：工作台和收入/毛利/场站/设备页面配置。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analysis_playbooks：收入下降、毛利变化、设备影响等标准分析流程。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anomaly_rules：阈值、同比环比、同群和持续性规则。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questions：推荐问题、Query Plan 示例和 40 条评测集。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report_templates：月报/周报结构。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permissions：角色可访问的对象和字段。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tests：场景包单元、数据质量、评测和页面合同测试。</w:t>
      </w:r>
    </w:p>
    <w:p>
      <w:pPr>
        <w:pStyle w:val="Heading2"/>
        <w:keepNext/>
        <w:spacing w:before="140" w:after="100"/>
      </w:pPr>
      <w:r>
        <w:t>7.7 第二客户异构接入验收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7867B"/>
              <w:left w:val="single" w:sz="18" w:color="27867B"/>
              <w:bottom w:val="single" w:sz="8" w:color="27867B"/>
              <w:right w:val="single" w:sz="8" w:color="27867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5652"/>
                <w:sz w:val="22"/>
              </w:rPr>
              <w:t>产品化关键验收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73F"/>
                <w:sz w:val="20"/>
              </w:rPr>
              <w:t>构造客户 B：表名、字段名、金额单位、时间格式和区域编码均不同。只通过连接器与映射完成接入；不得修改驾驶舱、15 项指标、Query Plan 和 ChatBI 核心代码。核心结果、质量、异常和报告均应正确。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8. 技术架构与上线能力优化要求</w:t>
      </w:r>
    </w:p>
    <w:p>
      <w:pPr>
        <w:pStyle w:val="Heading2"/>
        <w:keepNext/>
        <w:spacing w:before="140" w:after="100"/>
      </w:pPr>
      <w:r>
        <w:t>8.1 前端架构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81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803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Design Tokens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颜色、字号、间距、圆角、阴影、状态和图表主题集中管理。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页面模板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业务工作台、专题分析、列表详情、AI分析、报告、管理控制台。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组件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KPI卡、趋势图、贡献图、状态条、证据抽屉、筛选器、空态、数据质量提示。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状态管理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统一筛选上下文、用户角色、场景包、数据集和证据显示模式。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图表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统一 ECharts 封装；必须支持单位、比较期、异常点、空态和响应式。</w:t>
            </w:r>
          </w:p>
        </w:tc>
      </w:tr>
      <w:tr>
        <w:tc>
          <w:tcPr>
            <w:tcW w:type="dxa" w:w="181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回归</w:t>
            </w:r>
          </w:p>
        </w:tc>
        <w:tc>
          <w:tcPr>
            <w:tcW w:type="dxa" w:w="680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Playwright 截图与关键旅程回归。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8.2 后端模块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215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463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data_source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数据源配置、凭据引用、连接测试、Schema发现。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dataset_mapping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字段映射、转换规则、标准对象和发布版本。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sync_engine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全量/增量同步、checkpoint、重试、batch/run。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quality_engine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唯一性、完整性、范围、逻辑、一致性和时效。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scenario_registry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安装、启用、升级、停用场景包。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metric_registry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配置指标与插件指标统一发布。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experience_api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为工作台、专题、预警、AI和报告提供业务聚合接口。</w:t>
            </w:r>
          </w:p>
        </w:tc>
      </w:tr>
      <w:tr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operations</w:t>
            </w:r>
          </w:p>
        </w:tc>
        <w:tc>
          <w:tcPr>
            <w:tcW w:type="dxa" w:w="646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健康、日志、备份、版本、迁移和审计。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8.3 私有化上线基线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P0/P1 要求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部署形态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单客户独立实例；实例内组织/角色权限。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网络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域名、HTTPS、Nginx/Caddy、CORS白名单。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安全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生产密钥、密码策略、登录限流、Token过期、上传/导出权限。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可靠性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健康检查、自动重启、同步重试、任务失败告警。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数据保护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PostgreSQL备份、恢复演练、数据卷策略、导出审计。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可观测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结构化日志、错误追踪、同步状态、慢查询、磁盘和容量。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发布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dev/staging/prod配置、迁移检查、场景包版本、回滚说明。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初始化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安装向导、管理员创建、示例数据开关、数据源接入引导。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9. 快速落地阶段计划与优先级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49534"/>
            <wp:docPr id="6" name="Picture 6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t_track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9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i/>
          <w:color w:val="5A6973"/>
          <w:sz w:val="18"/>
        </w:rPr>
        <w:t>图 5：P0 快速落地建议计划</w:t>
      </w:r>
    </w:p>
    <w:p>
      <w:pPr>
        <w:pStyle w:val="Heading2"/>
        <w:keepNext/>
        <w:spacing w:before="140" w:after="100"/>
      </w:pPr>
      <w:r>
        <w:t>9.1 P0 主线（8–13 个有效开发日）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</w:trPr>
        <w:tc>
          <w:tcPr>
            <w:tcW w:type="dxa" w:w="113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13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工期</w:t>
            </w:r>
          </w:p>
        </w:tc>
        <w:tc>
          <w:tcPr>
            <w:tcW w:type="dxa" w:w="3969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工作范围</w:t>
            </w:r>
          </w:p>
        </w:tc>
        <w:tc>
          <w:tcPr>
            <w:tcW w:type="dxa" w:w="238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V2-0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0.5天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创建 feature/product-experience-v2；冻结截图、接口和测试基线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基线报告、分支、回滚点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V2-1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1天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设计 Token、应用框架、导航、数字格式、状态、证据抽屉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统一设计系统和页面壳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V2-2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3天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经营工作台、收入、毛利、场站、设备差异化重构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5 个核心业务页面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V2-3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2天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经营预警、AI经营分析、报告预览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业务闭环页面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V2-4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2–3天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CSV/Excel、PostgreSQL、Schema发现、映射、质量、发布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数据接入 V1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V2-5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2天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抽离 charging_ops，完成客户B异构接入验证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场景包 V1 与第二客户测试</w:t>
            </w:r>
          </w:p>
        </w:tc>
      </w:tr>
      <w:tr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V2-6</w:t>
            </w:r>
          </w:p>
        </w:tc>
        <w:tc>
          <w:tcPr>
            <w:tcW w:type="dxa" w:w="113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1–1.5天</w:t>
            </w:r>
          </w:p>
        </w:tc>
        <w:tc>
          <w:tcPr>
            <w:tcW w:type="dxa" w:w="396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私有化上线加固、全量回归、截图和验收</w:t>
            </w:r>
          </w:p>
        </w:tc>
        <w:tc>
          <w:tcPr>
            <w:tcW w:type="dxa" w:w="238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V2 P0 发布候选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9.2 P0 / P1 / P2 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P0 立即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界面与信息架构重构；业务/证据分层；数据接入中心 V1；charging_ops 场景包；客户B验证；私有化上线基线。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P1 后续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MySQL/API连接器；原生DOCX/PDF；长期个人偏好；历史案例；异常处置闭环；storage_ops_minimal。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P2 暂缓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共享SaaS多租户、SSO、CDC/Kafka、Kubernetes、高可用集群、多Agent、完整低代码BI。</w:t>
            </w:r>
          </w:p>
        </w:tc>
      </w:tr>
    </w:tbl>
    <w:p>
      <w:pPr>
        <w:spacing w:after="20"/>
      </w:pPr>
    </w:p>
    <w:p>
      <w:pPr>
        <w:sectPr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/>
          <w:pgMar w:top="850" w:right="935" w:bottom="850" w:left="935" w:header="397" w:footer="397" w:gutter="0"/>
          <w:cols w:space="720"/>
          <w:titlePg/>
          <w:docGrid w:linePitch="360"/>
        </w:sectPr>
      </w:pPr>
    </w:p>
    <w:p>
      <w:pPr>
        <w:pStyle w:val="Heading1"/>
        <w:keepNext/>
        <w:spacing w:before="200" w:after="100"/>
      </w:pPr>
      <w:r>
        <w:t>10. 详细工作分解与交付物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rHeight w:hRule="atLeast"/>
          <w:tblHeader w:val="true"/>
        </w:trPr>
        <w:tc>
          <w:tcPr>
            <w:tcW w:type="dxa" w:w="85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90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9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85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依赖</w:t>
            </w:r>
          </w:p>
        </w:tc>
        <w:tc>
          <w:tcPr>
            <w:tcW w:type="dxa" w:w="198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272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  <w:tc>
          <w:tcPr>
            <w:tcW w:type="dxa" w:w="96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建议工时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V2-0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建立截图、接口、评测和测试基线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Alpha干净提交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baseline_report.md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全量基线测试通过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V2-1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建立 Design Tokens 和统一主题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tokens/theme/components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所有页面使用统一Token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0.3d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V2-1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重构导航与业务/管理空间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UX-002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AppShell/Nav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菜单按业务任务组织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0.3d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V2-1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数字格式、状态、证据抽屉组件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UX-002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Format/State/Evidence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单位与状态统一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0.4d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V2-2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经营工作台重构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UX-003/004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Workbench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30秒识别经营状态与风险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0.8d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V2-2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收入与订单专题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Revenue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量价拆解和贡献正确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0.6d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V2-2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毛利与成本专题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Profit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毛利桥接与成本结构正确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0.6d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UX-104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V2-2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场站经营四象限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Station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分层和同群对比可解释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UX-105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V2-2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设备健康与维修优先级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Device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故障与经营影响可追溯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UX-201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V2-3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经营预警任务化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Alert Center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只显示有效预警与处置状态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UX-202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V2-3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AI经营分析业务化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AI Analysis V2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图表、追问、证据抽屉完整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0.8d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UX-203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V2-3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经营报告可视化预览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UX-101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Report Preview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默认不显示Markdown源码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V2-4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数据源与连接器契约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现有架构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Connector SDK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统一方法和运行记录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V2-4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CSV/Excel接入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File Connector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预览、映射、发布成功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V2-4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PostgreSQL接入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PG Connector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只读、Schema发现、同步成功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0.7d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DI-004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V2-4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字段映射与转换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DI-002/003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Mapping Center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单位/枚举/时区可配置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0.7d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DI-005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V2-4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数据质量和数据集发布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DI-004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Quality/Publish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失败不可伪装成功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0.6d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SP-001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V2-5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抽离 charging_ops 场景包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UX/DI完成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scenario_packs/charging_ops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核心无充电业务硬编码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0.8d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SP-002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V2-5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客户B异构数据接入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SP-001/DI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customer_b fixture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不改核心代码完成接入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0.6d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SP-003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V2-5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场景包合同与测试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SP-001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manifest/tests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指标、页面、评测随包加载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0.6d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OPS-001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V2-6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HTTPS/反向代理/生产配置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核心完成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deploy configs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生产配置fail-closed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0.4d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OPS-002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V2-6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备份恢复和运行监控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OPS-001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scripts/runbooks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恢复演练通过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0.4d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OPS-003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V2-6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全量回归与截图验收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全部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acceptance report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旧测试+新测试全部通过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0.5d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OPS-004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V2-6</w:t>
            </w:r>
          </w:p>
        </w:tc>
        <w:tc>
          <w:tcPr>
            <w:tcW w:type="dxa" w:w="249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README、安装引导和作品证据</w:t>
            </w:r>
          </w:p>
        </w:tc>
        <w:tc>
          <w:tcPr>
            <w:tcW w:type="dxa" w:w="85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P0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OPS-003</w:t>
            </w:r>
          </w:p>
        </w:tc>
        <w:tc>
          <w:tcPr>
            <w:tcW w:type="dxa" w:w="198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release docs/evidence</w:t>
            </w:r>
          </w:p>
        </w:tc>
        <w:tc>
          <w:tcPr>
            <w:tcW w:type="dxa" w:w="272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全新环境可复现</w:t>
            </w:r>
          </w:p>
        </w:tc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5"/>
              </w:rPr>
              <w:t>0.2d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37" w:right="737" w:bottom="737" w:left="737" w:header="397" w:footer="397" w:gutter="0"/>
          <w:cols w:space="720"/>
          <w:docGrid w:linePitch="360"/>
        </w:sectPr>
      </w:pPr>
    </w:p>
    <w:p>
      <w:pPr>
        <w:pStyle w:val="Heading1"/>
        <w:keepNext/>
        <w:spacing w:before="200" w:after="100"/>
      </w:pPr>
      <w:r>
        <w:t>11. 测试、验收与发布标准</w:t>
      </w:r>
    </w:p>
    <w:p>
      <w:pPr>
        <w:pStyle w:val="Heading2"/>
        <w:keepNext/>
        <w:spacing w:before="140" w:after="100"/>
      </w:pPr>
      <w:r>
        <w:t>11.1 业务体验验收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92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69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首页理解效率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目标用户 30 秒内说出本期经营状态、主要变化和前三项风险。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任务效率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工作台→专题/预警/AI/报告的高频任务不超过 3 次点击。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专题差异化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收入、毛利、场站、设备至少各有一套专属分析逻辑。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图表规范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单位、时间、比较期、目标/异常、说明完整；无占位式大空图。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业务语言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默认界面不显示英文 metric_id、SQL hash 和 Guard 技术词。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证据保留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模拟数据、数据时间、来源可见；技术证据可按需展开。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状态体验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空态、延迟、错误、无权限均说明原因和下一步。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报告体验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默认渲染报告，不显示 Markdown 源码。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11.2 数据接入与场景验收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92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69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文件接入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CSV/Excel 可上传、预览、映射、质量检查、发布。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PostgreSQL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只读连接、Schema发现、全量/增量同步、审计和失败处理。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映射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字段、类型、单位、枚举、时区、主键和空值策略可配置。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数据一致性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标准对象和指标对账通过；失败批次不发布。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客户B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仅增加连接与映射配置即可复用页面、指标、ChatBI、异常和报告。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场景包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charging_ops 可安装、启用、升级、停用，具备独立测试。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11.3 工程与安全回归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928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690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现有回归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后端、前端、Playwright、40题评测、SQL安全、DQ、迁移循环继续通过。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新增测试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页面合同、截图回归、连接器、映射、同步、发布、场景包、客户B。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安全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连接凭据不落日志、不提交仓库；只读账户；导出与数据权限有效。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可回滚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每阶段独立提交；数据库和场景包升级可回退。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部署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全新环境按 README 一次启动；健康检查、备份恢复和停止清理命令完整。</w:t>
            </w:r>
          </w:p>
        </w:tc>
      </w:tr>
      <w:tr>
        <w:tc>
          <w:tcPr>
            <w:tcW w:type="dxa" w:w="19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真实性</w:t>
            </w:r>
          </w:p>
        </w:tc>
        <w:tc>
          <w:tcPr>
            <w:tcW w:type="dxa" w:w="669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模拟数据与规划能力明确，不宣称生产上线和真实收益。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7867B"/>
              <w:left w:val="single" w:sz="18" w:color="27867B"/>
              <w:bottom w:val="single" w:sz="8" w:color="27867B"/>
              <w:right w:val="single" w:sz="8" w:color="27867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5652"/>
                <w:sz w:val="22"/>
              </w:rPr>
              <w:t>V2 P0 发布门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73F"/>
                <w:sz w:val="20"/>
              </w:rPr>
              <w:t>阻断缺陷为 0；核心业务回归 100%；40 条 ChatBI 评测不降低；危险 SQL 拒绝率 100%；客户 B 异构接入成功；全新环境启动、备份恢复和回滚证据完整。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12. Codex 执行方式与 Token 控制</w:t>
      </w:r>
    </w:p>
    <w:p>
      <w:pPr>
        <w:pStyle w:val="Heading2"/>
        <w:keepNext/>
        <w:spacing w:before="140" w:after="100"/>
      </w:pPr>
      <w:r>
        <w:t>12.1 推荐执行模式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创建分支 feature/product-experience-v2，不直接在 Alpha 提交上试错。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采用连续执行：实现 → 自动测试 → 自主修复 → 阶段提交 → 自动进入下一阶段。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每个阶段独立 Git 提交，详细证据写入仓库，聊天仅输出摘要。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不反复重写既有基线文档，只维护变更日志、阶段验收、README 和必要 ADR。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普通 lint、类型、局部测试失败自主修复最多 3 轮，不立即暂停。</w:t>
      </w:r>
    </w:p>
    <w:p>
      <w:pPr>
        <w:pStyle w:val="Heading2"/>
        <w:keepNext/>
        <w:spacing w:before="140" w:after="100"/>
      </w:pPr>
      <w:r>
        <w:t>12.2 模型与强度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4762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5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强度</w:t>
            </w:r>
          </w:p>
        </w:tc>
      </w:tr>
      <w:tr>
        <w:tc>
          <w:tcPr>
            <w:tcW w:type="dxa" w:w="47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总体架构、设计系统、场景抽离、数据接入</w:t>
            </w:r>
          </w:p>
        </w:tc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GPT-5.6 Sol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High</w:t>
            </w:r>
          </w:p>
        </w:tc>
      </w:tr>
      <w:tr>
        <w:tc>
          <w:tcPr>
            <w:tcW w:type="dxa" w:w="47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普通页面组件、接口、测试和文档</w:t>
            </w:r>
          </w:p>
        </w:tc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GPT-5.6 Terra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Medium</w:t>
            </w:r>
          </w:p>
        </w:tc>
      </w:tr>
      <w:tr>
        <w:tc>
          <w:tcPr>
            <w:tcW w:type="dxa" w:w="47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数据对账、安全、权限、迁移、最终验收疑难</w:t>
            </w:r>
          </w:p>
        </w:tc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GPT-5.6 Sol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Extra High</w:t>
            </w:r>
          </w:p>
        </w:tc>
      </w:tr>
      <w:tr>
        <w:tc>
          <w:tcPr>
            <w:tcW w:type="dxa" w:w="476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重复格式、批量样例、小范围机械修改</w:t>
            </w:r>
          </w:p>
        </w:tc>
        <w:tc>
          <w:tcPr>
            <w:tcW w:type="dxa" w:w="215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GPT-5.6 Luna</w:t>
            </w:r>
          </w:p>
        </w:tc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Low/Medium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12.3 Token 节省要求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不重复粘贴完整需求和文档内容，引用仓库路径与任务 ID。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每阶段只输出状态、提交、测试、风险和是否继续；详细报告落盘。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避免每个小任务重新计划，一次确认阶段计划后连续执行。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使用现有组件和接口，禁止无价值的重构和重复实现。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先运行定向测试，再运行阶段回归；最终才运行全量验收。</w:t>
      </w:r>
    </w:p>
    <w:p>
      <w:pPr>
        <w:pStyle w:val="ListNumber"/>
        <w:spacing w:after="60" w:line="283" w:lineRule="auto"/>
      </w:pPr>
      <w:r>
        <w:rPr>
          <w:rFonts w:ascii="Noto Sans CJK SC" w:hAnsi="Noto Sans CJK SC" w:eastAsia="Noto Sans CJK SC"/>
          <w:b w:val="0"/>
          <w:color w:val="263541"/>
          <w:sz w:val="20"/>
        </w:rPr>
        <w:t>不同时开启多个代理修改基础合同、数据模型或公共组件。</w:t>
      </w:r>
    </w:p>
    <w:p>
      <w:pPr>
        <w:pStyle w:val="Heading2"/>
        <w:keepNext/>
        <w:spacing w:before="140" w:after="100"/>
      </w:pPr>
      <w:r>
        <w:t>12.4 每阶段标准输出</w:t>
      </w: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Phase 状态；Git 提交哈希；主要交付物；测试通过数；剩余风险；是否自动进入下一阶段。除真实阻塞外，不输出长篇过程推理。</w:t>
      </w:r>
    </w:p>
    <w:p>
      <w:pPr>
        <w:pStyle w:val="Heading1"/>
        <w:keepNext/>
        <w:spacing w:before="200" w:after="100"/>
      </w:pPr>
      <w:r>
        <w:t>13. 风险、范围控制与停止条件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</w:trPr>
        <w:tc>
          <w:tcPr>
            <w:tcW w:type="dxa" w:w="964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9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描述</w:t>
            </w:r>
          </w:p>
        </w:tc>
        <w:tc>
          <w:tcPr>
            <w:tcW w:type="dxa" w:w="90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855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R-01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只做美化未改业务逻辑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每个页面先定义核心决策问题和验收。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R-02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抽象过度变成通用低代码BI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P0 只支持固定连接器和 charging_ops 场景包。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R-03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数据接入影响现有指标正确性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标准对象层、数据集发布门、对账和客户B测试。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R-04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前端重构破坏证据与安全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业务/证据分层而非删除证据；全量回归。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R-05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时间紧导致范围失控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严格 P0/P1/P2；新增需求必须替换工时。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R-06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客户凭据和数据泄露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凭据引用、密钥管理、脱敏、日志过滤和只读账户。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R-07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场景包抽离导致代码重复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中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统一平台接口和 manifest 合同。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R-08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上线后缺少运维能力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备份恢复、日志监控、健康检查和回滚作为发布门。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R-09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视觉改造只适配1920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中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1366/1440/1920截图回归。</w:t>
            </w:r>
          </w:p>
        </w:tc>
      </w:tr>
      <w:tr>
        <w:tc>
          <w:tcPr>
            <w:tcW w:type="dxa" w:w="9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R-10</w:t>
            </w:r>
          </w:p>
        </w:tc>
        <w:tc>
          <w:tcPr>
            <w:tcW w:type="dxa" w:w="289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模拟数据被误解为真实</w:t>
            </w:r>
          </w:p>
        </w:tc>
        <w:tc>
          <w:tcPr>
            <w:tcW w:type="dxa" w:w="90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高</w:t>
            </w:r>
          </w:p>
        </w:tc>
        <w:tc>
          <w:tcPr>
            <w:tcW w:type="dxa" w:w="385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7"/>
              </w:rPr>
              <w:t>全页面/报告/README保留模拟数据标签。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t>13.1 P0 明确不做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不做生产级共享 SaaS 多租户、SSO、Kubernetes、Kafka、高可用集群。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不做任意数据库、任意字段、任意 SQL 的万能问数。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不做完整低代码拖拽看板和图表设计器。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不做多 Agent、自动交易、自动邮件/工单或生产控制。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不新增大量指标，不扩展复杂 RAG 和模型体系。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不为了展示增加 3D 大屏、地图炫技和无业务价值动画。</w:t>
      </w:r>
    </w:p>
    <w:p>
      <w:pPr>
        <w:pStyle w:val="Heading2"/>
        <w:keepNext/>
        <w:spacing w:before="140" w:after="100"/>
      </w:pPr>
      <w:r>
        <w:t>13.2 必须停止并报告的情况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需要不可逆删除重要文件、数据库或数据卷。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冻结指标、Query Plan、安全合同出现无法兼容的重大矛盾。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安全、权限、数据对账或客户B接入连续 3 轮无法修复。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需要真实企业密钥、数据或修改仓库外系统。</w:t>
      </w:r>
    </w:p>
    <w:p>
      <w:pPr>
        <w:pStyle w:val="ListBullet"/>
        <w:spacing w:after="80" w:line="283" w:lineRule="auto"/>
        <w:ind w:left="425" w:hanging="170"/>
      </w:pPr>
      <w:r>
        <w:rPr>
          <w:rFonts w:ascii="Noto Sans CJK SC" w:hAnsi="Noto Sans CJK SC" w:eastAsia="Noto Sans CJK SC"/>
          <w:b w:val="0"/>
          <w:color w:val="263541"/>
          <w:sz w:val="20"/>
        </w:rPr>
        <w:t>预计工期超出 P0 上限且无法通过砍范围解决。</w:t>
      </w:r>
    </w:p>
    <w:p>
      <w:pPr>
        <w:pStyle w:val="Heading1"/>
        <w:keepNext/>
        <w:spacing w:before="200" w:after="100"/>
      </w:pPr>
      <w:r>
        <w:t>附录 A：P0 优化验收清单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</w:trPr>
        <w:tc>
          <w:tcPr>
            <w:tcW w:type="dxa" w:w="124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783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58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A-01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新导航和业务/管理空间完成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A-02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数字、状态、证据抽屉统一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A-03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经营工作台完成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A-04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收入/毛利/场站/设备专题差异化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A-05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经营预警任务化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A-06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AI经营分析业务化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A-07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报告可视化预览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A-08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1366/1440/1920适配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A-09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CSV/Excel接入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A-10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PostgreSQL接入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A-11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字段映射和质量发布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A-12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charging_ops场景包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A-13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客户B异构接入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A-14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HTTPS/生产配置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A-15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备份恢复和监控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A-16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现有全量回归不降低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A-17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新增场景和接入测试通过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  <w:tr>
        <w:tc>
          <w:tcPr>
            <w:tcW w:type="dxa" w:w="124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A-18</w:t>
            </w:r>
          </w:p>
        </w:tc>
        <w:tc>
          <w:tcPr>
            <w:tcW w:type="dxa" w:w="578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README和作品证据更新</w:t>
            </w:r>
          </w:p>
        </w:tc>
        <w:tc>
          <w:tcPr>
            <w:tcW w:type="dxa" w:w="158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□ 待验收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附录 B：后续 P1 / P2 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</w:trPr>
        <w:tc>
          <w:tcPr>
            <w:tcW w:type="dxa" w:w="1701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6917"/>
            <w:shd w:fill="246B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P1 数据源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MySQL、REST API、增量任务配置、连接器健康面板。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P1 业务能力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长期个人偏好、历史案例、异常处置闭环、原生DOCX/PDF、场站详情。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P1 场景扩展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storage_ops_minimal，用于验证平台跨场景扩展。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P1 产品运营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安装向导、品牌配置、模板管理、使用分析和反馈。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P2 平台化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共享SaaS多租户、SSO、细粒度行列权限、场景市场。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P2 数据工程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5F8FA"/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CDC、消息队列、实时流、容量规划和高可用。</w:t>
            </w:r>
          </w:p>
        </w:tc>
      </w:tr>
      <w:tr>
        <w:tc>
          <w:tcPr>
            <w:tcW w:type="dxa" w:w="1701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P2 智能体</w:t>
            </w:r>
          </w:p>
        </w:tc>
        <w:tc>
          <w:tcPr>
            <w:tcW w:type="dxa" w:w="691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E0E6"/>
              <w:left w:val="single" w:sz="3" w:color="D7E0E6"/>
              <w:bottom w:val="single" w:sz="3" w:color="D7E0E6"/>
              <w:right w:val="single" w:sz="3" w:color="D7E0E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0313D"/>
                <w:sz w:val="18"/>
              </w:rPr>
              <w:t>与项目三打通自动通知、工单和任务推进，但保持人工审批。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最终启动建议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7867B"/>
              <w:left w:val="single" w:sz="18" w:color="27867B"/>
              <w:bottom w:val="single" w:sz="8" w:color="27867B"/>
              <w:right w:val="single" w:sz="8" w:color="27867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5652"/>
                <w:sz w:val="22"/>
              </w:rPr>
              <w:t>建议立即执行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73F"/>
                <w:sz w:val="20"/>
              </w:rPr>
              <w:t>先批准本文件作为 V2 P0 优化基线，创建 feature/product-experience-v2 分支。按照 V2-0 → V2-6 连续执行，优先在 8–13 个有效开发日内完成业务体验、数据接入、charging_ops 场景包和私有化上线基线；P1/P2 不进入当前主线。</w:t>
            </w:r>
          </w:p>
        </w:tc>
      </w:tr>
    </w:tbl>
    <w:p>
      <w:pPr>
        <w:spacing w:after="20"/>
      </w:pPr>
    </w:p>
    <w:p>
      <w:pPr>
        <w:keepLines w:val="0"/>
        <w:spacing w:line="300" w:lineRule="auto" w:after="100"/>
        <w:ind w:left="0"/>
      </w:pPr>
      <w:r>
        <w:rPr>
          <w:rFonts w:ascii="Noto Sans CJK SC" w:hAnsi="Noto Sans CJK SC" w:eastAsia="Noto Sans CJK SC"/>
          <w:b w:val="0"/>
          <w:color w:val="263541"/>
          <w:sz w:val="21"/>
        </w:rPr>
        <w:t>本文件的核心判断：当前项目已经“能运行”，下一阶段必须让它“业务可用、客户可接入、场景可扩展、部署可维护”。界面优化、数据接入和产品化架构必须作为同一阶段的三条并行主线，而不是先美化后推倒重做。</w:t>
      </w:r>
    </w:p>
    <w:sectPr w:rsidR="00FC693F" w:rsidRPr="0006063C" w:rsidSect="00034616"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682"/>
        <w:sz w:val="16"/>
      </w:rPr>
      <w:t>新能源经营分析智能平台 V2｜产品化优化实施方案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45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70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0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新能源经营分析智能平台 V2 产品化优化与快速落地实施方案</dc:title>
  <dc:subject>界面体验、业务能力、数据接入、场景包与私有化上线优化</dc:subject>
  <dc:creator>王迎港 / ChatGPT</dc:creator>
  <cp:keywords>新能源,经营分析,ChatBI,数据接入,场景包,产品化,UI UX,私有化部署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