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  <w:b/>
          <w:color w:val="0B2545"/>
          <w:sz w:val="44"/>
        </w:rPr>
        <w:t>《智能运营分析项目》项目全面分析说明文档</w:t>
      </w:r>
    </w:p>
    <w:p>
      <w:pPr>
        <w:jc w:val="center"/>
      </w:pPr>
      <w:r>
        <w:rPr>
          <w:rFonts w:ascii="Calibri" w:hAnsi="Calibri" w:eastAsia="Microsoft YaHei"/>
          <w:b w:val="0"/>
          <w:color w:val="6B7280"/>
          <w:sz w:val="22"/>
        </w:rPr>
        <w:t>电价预测 · 售电交易决策 · AI 助手 · 模型运维 · 数据库与企业后台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文档范围与依据</w:t>
            </w:r>
          </w:p>
          <w:p>
            <w:pPr>
              <w:spacing w:after="80"/>
            </w:pPr>
            <w:r>
              <w:rPr>
                <w:rFonts w:ascii="Calibri" w:hAnsi="Calibri" w:eastAsia="Microsoft YaHei"/>
                <w:sz w:val="20"/>
              </w:rPr>
              <w:t>本说明文档基于当前本地项目文件扫描、关键代码分批读取、数据库迁移、模型产物、前端页面、AI 工具链与《AI售电交易决策平台_优化重构落地方案_Codex执行版.docx》的内容整理。未发现或无法从代码确认的内容均按“当前项目中未发现”或“根据代码推断”标注。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1. 项目概述</w:t>
      </w:r>
    </w:p>
    <w:p>
      <w:r>
        <w:rPr>
          <w:rFonts w:ascii="Calibri" w:hAnsi="Calibri" w:eastAsia="Microsoft YaHei"/>
        </w:rPr>
        <w:t>项目名称可归纳为“智能运营分析项目 / AI 售电交易决策平台”。项目当前已从单体电价预测脚本演进为包含数据采集、预测建模、策略建议、报告生成、FastAPI 后端、React 企业后台、MySQL 数据库、模型运维和本地 AI 助手的综合系统。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18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项目项</w:t>
            </w:r>
          </w:p>
        </w:tc>
        <w:tc>
          <w:tcPr>
            <w:tcW w:type="dxa" w:w="756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项目类型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Python 数据分析/机器学习项目 + FastAPI 后端 + React/TypeScript/Vite/Ant Design 前端 + MySQL 数据层 + Ollama 本地大模型助手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业务定位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基于机器学习与本地大模型 Agent 的电力交易智能决策辅助平台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核心问题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将电价预测、风险识别、储能充放电建议、报告生成、政策电价核对和模型监控统一到可演示、可运维、可追溯的平台中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目标用户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售电公司交易员、运营人员、模型维护人员、项目负责人、数据/策略分析人员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当前完成度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前端 10 个页面与统一布局已建立；后端 API 已模块化；预测、AI 助手、任务、报告、模型运维和核心数据入库已具备雏形。权限体系、企业级部署、向量知识库和生产级审计仍需继续完善。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2. 项目业务目标与应用场景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预测未来 24 小时日前电价，为售电交易、储能充放电、风险复核提供基础数据。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识别高价风险时段、低价采购窗口和峰谷价差，生成可解释的业务策略建议。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把预测结果、模型指标、任务日志、AI Trace 和电价政策规则纳入数据库，形成统一事实来源。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通过 AI 助手把电价查询、预测解释、策略工具、模型工具、报告工具和知识库检索组合为可追溯问答。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将原本分散的 Excel、脚本、报告和模型产物转为浅绿色新能源企业后台，便于演示、运维和后续企业级落地。</w:t>
      </w:r>
    </w:p>
    <w:p>
      <w:pPr>
        <w:pStyle w:val="Heading1"/>
      </w:pPr>
      <w:r>
        <w:rPr>
          <w:rFonts w:ascii="Calibri" w:hAnsi="Calibri" w:eastAsia="Microsoft YaHei"/>
        </w:rPr>
        <w:t>3. 项目技术栈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3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27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技术/依赖</w:t>
            </w:r>
          </w:p>
        </w:tc>
        <w:tc>
          <w:tcPr>
            <w:tcW w:type="dxa" w:w="536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前端</w:t>
            </w:r>
          </w:p>
        </w:tc>
        <w:tc>
          <w:tcPr>
            <w:tcW w:type="dxa" w:w="2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React 18、TypeScript、Vite 5、Ant Design 5、ECharts</w:t>
            </w:r>
          </w:p>
        </w:tc>
        <w:tc>
          <w:tcPr>
            <w:tcW w:type="dxa" w:w="5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企业后台页面、图表、交互、Mock 与 API 预留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后端</w:t>
            </w:r>
          </w:p>
        </w:tc>
        <w:tc>
          <w:tcPr>
            <w:tcW w:type="dxa" w:w="2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FastAPI、Pydantic、Uvicorn</w:t>
            </w:r>
          </w:p>
        </w:tc>
        <w:tc>
          <w:tcPr>
            <w:tcW w:type="dxa" w:w="5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REST API、任务启动、AI 助手、报告/策略/模型接口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数据处理</w:t>
            </w:r>
          </w:p>
        </w:tc>
        <w:tc>
          <w:tcPr>
            <w:tcW w:type="dxa" w:w="2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pandas、numpy、openpyxl</w:t>
            </w:r>
          </w:p>
        </w:tc>
        <w:tc>
          <w:tcPr>
            <w:tcW w:type="dxa" w:w="5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Excel/CSV 读取、字段清洗、主表构建、结果输出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机器学习</w:t>
            </w:r>
          </w:p>
        </w:tc>
        <w:tc>
          <w:tcPr>
            <w:tcW w:type="dxa" w:w="2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scikit-learn、joblib，可选 LightGBM/XGBoost</w:t>
            </w:r>
          </w:p>
        </w:tc>
        <w:tc>
          <w:tcPr>
            <w:tcW w:type="dxa" w:w="5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电价预测、尖峰分类、模型评估、模型产物序列化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数据库</w:t>
            </w:r>
          </w:p>
        </w:tc>
        <w:tc>
          <w:tcPr>
            <w:tcW w:type="dxa" w:w="2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MySQL、SQLAlchemy、pymysql</w:t>
            </w:r>
          </w:p>
        </w:tc>
        <w:tc>
          <w:tcPr>
            <w:tcW w:type="dxa" w:w="5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核心事实表、模型注册、预测跟踪、AI Trace、规则资产入库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AI 大模型</w:t>
            </w:r>
          </w:p>
        </w:tc>
        <w:tc>
          <w:tcPr>
            <w:tcW w:type="dxa" w:w="2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Ollama qwen3:4b、本地 Model Gateway、OpenAI-compatible 抽象</w:t>
            </w:r>
          </w:p>
        </w:tc>
        <w:tc>
          <w:tcPr>
            <w:tcW w:type="dxa" w:w="5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报告生成、AI 助手总结、后续可切换企业模型服务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文档/报告</w:t>
            </w:r>
          </w:p>
        </w:tc>
        <w:tc>
          <w:tcPr>
            <w:tcW w:type="dxa" w:w="2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python-docx</w:t>
            </w:r>
          </w:p>
        </w:tc>
        <w:tc>
          <w:tcPr>
            <w:tcW w:type="dxa" w:w="5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AI 报告与项目说明文档生成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测试</w:t>
            </w:r>
          </w:p>
        </w:tc>
        <w:tc>
          <w:tcPr>
            <w:tcW w:type="dxa" w:w="2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pytest、FastAPI TestClient</w:t>
            </w:r>
          </w:p>
        </w:tc>
        <w:tc>
          <w:tcPr>
            <w:tcW w:type="dxa" w:w="5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后端接口、AI 工具、迁移、模型产物、启动脚本验证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4. 项目整体架构</w:t>
      </w:r>
    </w:p>
    <w:p>
      <w:r>
        <w:rPr>
          <w:rFonts w:ascii="Calibri" w:hAnsi="Calibri" w:eastAsia="Microsoft YaHei"/>
        </w:rPr>
        <w:t>推荐把当前项目理解为模块化单体架构：前端负责页面与交互，FastAPI 负责统一接口，根目录预测/报告脚本作为业务执行引擎，MySQL 作为事实来源，模型产物目录承载 Active/Candidate 模型，AI 助手通过工具链读取事实和产物后再组织回答。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用户操作前端页面，例如运行预测、查看风险、询问 AI 或审核报告。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frontend/src/api.ts 调用后端 /api/* 接口，接口集中注册在 backend/app/api/v1/router.py。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FastAPI endpoint 调用 backend/app/platform_services.py、backend/app/data_access.py、backend/app/task_manager.py 或 backend/app/ai_assistant/service.py。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任务类请求通过 TaskManager 启动根目录脚本，预测类任务进入 main_daily_run.py 或 services/prediction_service.py。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预测引擎读取 output/master_table.xlsx、数据库导出的输入表和历史结果，进行特征工程、模型推理或完整训练，并输出 Excel、图表、模型产物和报告摘要。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database_utils.py 与 backend/app/services/core_data_sync.py 将预测结果、模型指标、任务日志、AI Trace、电价规则和政策摘要写入 MySQL。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AI 助手根据意图调用预测、储能、模型、报告、电价规则、知识库等工具，生成包含结论、数据依据、原因解释、业务建议、风险提示的结构化回答。</w:t>
      </w:r>
    </w:p>
    <w:p>
      <w:pPr>
        <w:pStyle w:val="Heading2"/>
      </w:pPr>
      <w:r>
        <w:rPr>
          <w:rFonts w:ascii="Calibri" w:hAnsi="Calibri" w:eastAsia="Microsoft YaHei"/>
        </w:rPr>
        <w:t>4.1 分层职责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3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30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核心目录/文件</w:t>
            </w:r>
          </w:p>
        </w:tc>
        <w:tc>
          <w:tcPr>
            <w:tcW w:type="dxa" w:w="506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前端层</w:t>
            </w:r>
          </w:p>
        </w:tc>
        <w:tc>
          <w:tcPr>
            <w:tcW w:type="dxa" w:w="30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frontend/src/app、layout、pages、components、services、mock、theme</w:t>
            </w:r>
          </w:p>
        </w:tc>
        <w:tc>
          <w:tcPr>
            <w:tcW w:type="dxa" w:w="50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10 个业务页面、统一侧边栏/顶部栏、ECharts 图表、Mock 和 API 调用封装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接口层</w:t>
            </w:r>
          </w:p>
        </w:tc>
        <w:tc>
          <w:tcPr>
            <w:tcW w:type="dxa" w:w="30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backend/app/main.py、backend/app/api/v1/endpoints</w:t>
            </w:r>
          </w:p>
        </w:tc>
        <w:tc>
          <w:tcPr>
            <w:tcW w:type="dxa" w:w="50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创建 FastAPI 应用、CORS、路由注册、HTTP 请求参数校验和响应包装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服务层</w:t>
            </w:r>
          </w:p>
        </w:tc>
        <w:tc>
          <w:tcPr>
            <w:tcW w:type="dxa" w:w="30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backend/app/platform_services.py、backend/app/services/core_data_sync.py、services/*.py</w:t>
            </w:r>
          </w:p>
        </w:tc>
        <w:tc>
          <w:tcPr>
            <w:tcW w:type="dxa" w:w="50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策略/异常/报告/任务/预测运行/数据刷新/核心入库等业务流程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数据访问层</w:t>
            </w:r>
          </w:p>
        </w:tc>
        <w:tc>
          <w:tcPr>
            <w:tcW w:type="dxa" w:w="30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backend/app/data_access.py、database_utils.py</w:t>
            </w:r>
          </w:p>
        </w:tc>
        <w:tc>
          <w:tcPr>
            <w:tcW w:type="dxa" w:w="50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Excel/数据库读取、表浏览、仪表盘数据、预测结果、模型状态和报告状态读取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模型层</w:t>
            </w:r>
          </w:p>
        </w:tc>
        <w:tc>
          <w:tcPr>
            <w:tcW w:type="dxa" w:w="30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prediction_engine、model_ops、model_artifacts</w:t>
            </w:r>
          </w:p>
        </w:tc>
        <w:tc>
          <w:tcPr>
            <w:tcW w:type="dxa" w:w="50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特征工程、预测、训练、模型注册、Active 模型加载、误差记忆、自动重训和回滚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AI 层</w:t>
            </w:r>
          </w:p>
        </w:tc>
        <w:tc>
          <w:tcPr>
            <w:tcW w:type="dxa" w:w="30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backend/app/ai_assistant、backend/model_gateway、knowledge_base</w:t>
            </w:r>
          </w:p>
        </w:tc>
        <w:tc>
          <w:tcPr>
            <w:tcW w:type="dxa" w:w="50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意图识别、工具路由、Prompt/LLM、Trace、会话记忆、业务知识检索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运行层</w:t>
            </w:r>
          </w:p>
        </w:tc>
        <w:tc>
          <w:tcPr>
            <w:tcW w:type="dxa" w:w="30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*.bat、main_daily_run.py、docker-compose.yml</w:t>
            </w:r>
          </w:p>
        </w:tc>
        <w:tc>
          <w:tcPr>
            <w:tcW w:type="dxa" w:w="50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Windows 一键启动、日常流水线、Web 平台启动和后续 Docker 化入口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5. 项目目录结构说明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路径</w:t>
            </w:r>
          </w:p>
        </w:tc>
        <w:tc>
          <w:tcPr>
            <w:tcW w:type="dxa" w:w="12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22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  <w:tc>
          <w:tcPr>
            <w:tcW w:type="dxa" w:w="9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是否核心</w:t>
            </w:r>
          </w:p>
        </w:tc>
        <w:tc>
          <w:tcPr>
            <w:tcW w:type="dxa" w:w="426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backend/</w:t>
            </w:r>
          </w:p>
        </w:tc>
        <w:tc>
          <w:tcPr>
            <w:tcW w:type="dxa" w:w="1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Python 包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FastAPI 后端、接口、服务、AI 助手、模型网关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是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main.py 仅负责应用创建与路由注册，api/v1/endpoints 按业务域拆分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frontend/</w:t>
            </w:r>
          </w:p>
        </w:tc>
        <w:tc>
          <w:tcPr>
            <w:tcW w:type="dxa" w:w="1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React 项目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浅绿色新能源 AI 售电交易后台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是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React + TS + Vite + AntD + ECharts，10 个页面已拆分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prediction_engine/</w:t>
            </w:r>
          </w:p>
        </w:tc>
        <w:tc>
          <w:tcPr>
            <w:tcW w:type="dxa" w:w="1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Python 包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特征工程、训练、快速预测、评估、图表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是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封装历史大脚本能力，部分函数仍代理 legacy_engine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model_ops/</w:t>
            </w:r>
          </w:p>
        </w:tc>
        <w:tc>
          <w:tcPr>
            <w:tcW w:type="dxa" w:w="1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Python 包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模型注册、Active 加载、误差记忆、偏差校正、自动重训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是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形成 MLOps 雏形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services/</w:t>
            </w:r>
          </w:p>
        </w:tc>
        <w:tc>
          <w:tcPr>
            <w:tcW w:type="dxa" w:w="1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Python 包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日常流水线、预测、数据刷新、报告、运维服务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是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根目录脚本调用的服务层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migrations/</w:t>
            </w:r>
          </w:p>
        </w:tc>
        <w:tc>
          <w:tcPr>
            <w:tcW w:type="dxa" w:w="1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SQL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MySQL 表结构和视图迁移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是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001-013 覆盖模型、预测、任务、AI、报告、电价规则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electricity_tariff_output/</w:t>
            </w:r>
          </w:p>
        </w:tc>
        <w:tc>
          <w:tcPr>
            <w:tcW w:type="dxa" w:w="1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数据资产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电价规则、政策摘要、电站核对、南网税率、QA 数据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是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已转为 processed CSV 并接入 AI 工具/数据库同步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knowledge_base/</w:t>
            </w:r>
          </w:p>
        </w:tc>
        <w:tc>
          <w:tcPr>
            <w:tcW w:type="dxa" w:w="1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Markdown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电力交易知识、风险等级、术语、字段说明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是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当前为文本检索，未发现向量库接入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model_artifacts/</w:t>
            </w:r>
          </w:p>
        </w:tc>
        <w:tc>
          <w:tcPr>
            <w:tcW w:type="dxa" w:w="1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模型产物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不同版本模型、特征、指标、阈值、manifest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是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包含 base_model、peak_model、spike_classifier、feature_cols 等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自动化输出/、结果-3/、全流程预测结果数据存放/</w:t>
            </w:r>
          </w:p>
        </w:tc>
        <w:tc>
          <w:tcPr>
            <w:tcW w:type="dxa" w:w="1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输出目录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预测结果、报告、图表、日志、归档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是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当前 Excel/文件输出仍是重要兜底来源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docs/ui-reference/</w:t>
            </w:r>
          </w:p>
        </w:tc>
        <w:tc>
          <w:tcPr>
            <w:tcW w:type="dxa" w:w="1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设计资料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UI 参考图、页面规范、主题规范、3D 能源素材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是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前端高保真重构依据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tests/</w:t>
            </w:r>
          </w:p>
        </w:tc>
        <w:tc>
          <w:tcPr>
            <w:tcW w:type="dxa" w:w="1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测试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接口、AI、模型、迁移、脚本测试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是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覆盖 Web 平台、AI 助手、电价工具、模型运维等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run_*.bat、启动*.bat</w:t>
            </w:r>
          </w:p>
        </w:tc>
        <w:tc>
          <w:tcPr>
            <w:tcW w:type="dxa" w:w="1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脚本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一键启动、健康检查、流水线、Web 前后端启动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是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Windows 本地演示和运维入口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6. 核心功能模块分析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3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17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  <w:tc>
          <w:tcPr>
            <w:tcW w:type="dxa" w:w="25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主要文件</w:t>
            </w:r>
          </w:p>
        </w:tc>
        <w:tc>
          <w:tcPr>
            <w:tcW w:type="dxa" w:w="16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226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输出/关系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首页 Dashboard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展示预测指标、风险、任务、报告和能源主视觉</w:t>
            </w:r>
          </w:p>
        </w:tc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frontend/src/pages/dashboard/DashboardPage.tsx、backend/app/api/v1/endpoints/forecast.py</w:t>
            </w:r>
          </w:p>
        </w:tc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预测结果、策略、任务、报告状态</w:t>
            </w:r>
          </w:p>
        </w:tc>
        <w:tc>
          <w:tcPr>
            <w:tcW w:type="dxa" w:w="2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调用 /api/dashboard/summary，作为运营驾驶舱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数据中心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数据源状态、质量、数据库表浏览、核心数据同步</w:t>
            </w:r>
          </w:p>
        </w:tc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DataCenterPage.tsx、data.py、data_access.py、core_data_sync.py</w:t>
            </w:r>
          </w:p>
        </w:tc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PJM/天气/负荷/Excel/数据库</w:t>
            </w:r>
          </w:p>
        </w:tc>
        <w:tc>
          <w:tcPr>
            <w:tcW w:type="dxa" w:w="2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数据状态、表清单、入库计数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预测中心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24 小时电价预测、历史对比、峰谷分析、明细</w:t>
            </w:r>
          </w:p>
        </w:tc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ForecastCenterPage.tsx、forecast.py、prediction_service.py</w:t>
            </w:r>
          </w:p>
        </w:tc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master_table、Active 模型、历史价格/负荷/天气</w:t>
            </w:r>
          </w:p>
        </w:tc>
        <w:tc>
          <w:tcPr>
            <w:tcW w:type="dxa" w:w="2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forecast_runs、forecast_results、Excel 结果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策略中心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高价风险、低价窗口、储能充放电建议、复核清单</w:t>
            </w:r>
          </w:p>
        </w:tc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StrategyCenterPage.tsx、platform_services.py</w:t>
            </w:r>
          </w:p>
        </w:tc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预测价格、风险概率、负荷、高峰时段</w:t>
            </w:r>
          </w:p>
        </w:tc>
        <w:tc>
          <w:tcPr>
            <w:tcW w:type="dxa" w:w="2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strategy_advice、anomaly_explanations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AI 助手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三栏问答、工具调用、Trace 和证据展示</w:t>
            </w:r>
          </w:p>
        </w:tc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AssistantPage.tsx、ai_assistant/service.py、tools/*.py</w:t>
            </w:r>
          </w:p>
        </w:tc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用户问题、会话状态、工具证据</w:t>
            </w:r>
          </w:p>
        </w:tc>
        <w:tc>
          <w:tcPr>
            <w:tcW w:type="dxa" w:w="2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结构化回答、Trace、ai_traces、聊天记录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报告中心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生成、预览、审核、发布 AI 报告</w:t>
            </w:r>
          </w:p>
        </w:tc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ReportCenterPage.tsx、report.py、02/03/04 脚本</w:t>
            </w:r>
          </w:p>
        </w:tc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预测摘要、策略、模型、AI 输出</w:t>
            </w:r>
          </w:p>
        </w:tc>
        <w:tc>
          <w:tcPr>
            <w:tcW w:type="dxa" w:w="2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docx 报告、审核记录、发布记录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模型中心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Active/Candidate、指标、误差趋势、回滚/训练状态</w:t>
            </w:r>
          </w:p>
        </w:tc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ModelCenterPage.tsx、model.py、model_ops/*.py</w:t>
            </w:r>
          </w:p>
        </w:tc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model_registry、model_artifacts、prediction_tracking</w:t>
            </w:r>
          </w:p>
        </w:tc>
        <w:tc>
          <w:tcPr>
            <w:tcW w:type="dxa" w:w="2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模型指标、退化建议、候选对比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知识库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政策文档、索引、RAG 检索、QA 测试</w:t>
            </w:r>
          </w:p>
        </w:tc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KnowledgeBasePage.tsx、knowledge_base/、knowledge_tools.py</w:t>
            </w:r>
          </w:p>
        </w:tc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Markdown、政策摘要、电价资产</w:t>
            </w:r>
          </w:p>
        </w:tc>
        <w:tc>
          <w:tcPr>
            <w:tcW w:type="dxa" w:w="2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检索结果和 AI 整理答案；当前未发现真实向量库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任务中心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任务调度、运行日志、失败重试、告警</w:t>
            </w:r>
          </w:p>
        </w:tc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TaskCenterPage.tsx、task.py、task_manager.py</w:t>
            </w:r>
          </w:p>
        </w:tc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任务类型、bat/脚本、Windows 计划任务</w:t>
            </w:r>
          </w:p>
        </w:tc>
        <w:tc>
          <w:tcPr>
            <w:tcW w:type="dxa" w:w="2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TaskRecord、task_logs、日志文本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系统设置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用户、权限、接口、模型端点、数据源、通知、健康信息</w:t>
            </w:r>
          </w:p>
        </w:tc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SettingsPage.tsx、system.py、config_loader.py</w:t>
            </w:r>
          </w:p>
        </w:tc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配置文件、环境变量</w:t>
            </w:r>
          </w:p>
        </w:tc>
        <w:tc>
          <w:tcPr>
            <w:tcW w:type="dxa" w:w="2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设置展示与预留配置；当前未发现完整认证授权实现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7. 核心代码文件说明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2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文件</w:t>
            </w:r>
          </w:p>
        </w:tc>
        <w:tc>
          <w:tcPr>
            <w:tcW w:type="dxa" w:w="17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核心函数/类</w:t>
            </w:r>
          </w:p>
        </w:tc>
        <w:tc>
          <w:tcPr>
            <w:tcW w:type="dxa" w:w="26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  <w:tc>
          <w:tcPr>
            <w:tcW w:type="dxa" w:w="15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136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输出/调用关系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main_daily_run.py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build_sequence、main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日常自动化总控，按参数组合执行刷新、预测、摘要、报告、派发、监控、健康检查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命令行参数和运行上下文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调用 01-13 脚本与 services 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backend/app/main.py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create_app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创建 FastAPI 应用、配置 CORS、注册 model_gateway 与 api/v1 路由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无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app 对象供 uvicorn 启动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backend/app/api/v1/router.py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api_router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聚合 system/data/forecast/strategy/assistant/report/model/task endpoints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各业务 router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统一暴露 /api/*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backend/app/data_access.py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load_latest_forecast、data_status、database_tables、dashboard_summary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读取预测结果、数据库状态、表浏览、仪表盘数据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Excel/数据库/配置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后端接口和 AI 工具的数据来源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backend/app/platform_services.py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generate_strategy_advice、generate_anomaly_explanations、generate_ai_insights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基于预测结果生成策略、异常解释和页面 AI 洞察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预测记录、模型/报告状态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写 strategy_advice、anomaly_explanations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backend/app/task_manager.py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TaskManager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将 Web 任务映射到脚本并异步运行，记录日志和状态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任务 kind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TaskRecord、analysis_runs、task_logs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services/prediction_service.py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run_prediction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完整预测或 Active 模型快速预测入口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配置、运行上下文、fast_forecast 标志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预测结果、数据库同步、模型注册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prediction_engine/features.py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run_full_feature_engineering、build_feature_list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特征工程门面，复用 legacy engine 并提供泄漏过滤测试入口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历史主表 DataFrame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建模特征和泄漏检查结果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prediction_engine/fast_forecast.py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forecast_with_saved_model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加载 Active 模型快速推理未来 24 小时，并生成业务摘要和图表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ActiveModelBundle、历史主表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正式预测结果、输入特征、业务摘要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model_ops/active_model_loader.py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load_active_model_artifacts、predict_with_active_model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从数据库或配置加载 Active 模型，校验产物并执行融合预测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model_registry 或 active_artifact_path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base/peak/spike/p90 预测输出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database_utils.py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apply_database_migrations、sync_result_tables_to_database、preview_relation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数据库迁移、Excel 结果入库、表浏览、事件记录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配置、Excel、SQL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MySQL 表和视图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backend/app/services/core_data_sync.py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sync_core_facts_and_tariff_assets、save_ai_trace_record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同步预测事实、模型事实、电价规则资产和 AI Trace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预测输出、模型产物、电价 CSV、AI Trace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forecast_*、model_*、pv_*、ai_traces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backend/app/ai_assistant/service.py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answer_chat_accurate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AI 助手主流程：归一化、意图识别、工具执行、答案构造、LLM 总结、Guard、Trace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用户问题、session_id、run_id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结构化回答、工具证据、Trace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backend/model_gateway/router.py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gateway_health、gateway_chat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本地模型网关，提供 OpenAI-compatible 风格接口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chat payload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转发到 Qwen/Ollama 客户端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frontend/src/app/App.tsx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App、pages 映射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根据 hash route 渲染 10 个页面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route/childKey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页面组件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frontend/src/layout/Sidebar.tsx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Sidebar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固定/折叠侧边栏，一级菜单和二级菜单导航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activeRoute、activeSubKey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onNavigate 更新 hash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frontend/src/api.ts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api 对象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前端统一 API 封装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接口参数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fetch /api/*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8. 项目启动与运行流程</w:t>
      </w:r>
    </w:p>
    <w:p>
      <w:pPr>
        <w:pStyle w:val="Heading2"/>
      </w:pPr>
      <w:r>
        <w:rPr>
          <w:rFonts w:ascii="Calibri" w:hAnsi="Calibri" w:eastAsia="Microsoft YaHei"/>
        </w:rPr>
        <w:t>8.1 Web 平台启动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运行 run_web_backend.bat 启动 FastAPI，实际命令等价于 python -m uvicorn backend.app.main:app --host 127.0.0.1 --port 8000。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运行 run_web_frontend.bat 启动 Vite 前端，默认访问 http://127.0.0.1:5173。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run_web_platform.bat 组合启动前后端，并执行环境检查。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run_web_smoke_test.bat 用于 Web 平台冒烟测试，覆盖健康检查、核心接口和页面能力。</w:t>
      </w:r>
    </w:p>
    <w:p>
      <w:pPr>
        <w:pStyle w:val="Heading2"/>
      </w:pPr>
      <w:r>
        <w:rPr>
          <w:rFonts w:ascii="Calibri" w:hAnsi="Calibri" w:eastAsia="Microsoft YaHei"/>
        </w:rPr>
        <w:t>8.2 自动化预测流水线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main_daily_run.py 生成 run_id、run_started_at 和 run_mode，并根据命令行参数构造执行序列。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可选刷新外部市场数据：services/data_service.py 调用 fetch_power_market_data.py，失败时降级复用本地/数据库数据。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执行预测：services/prediction_service.py 可以走完整训练预测，也可以通过 fast_forecast 加载 Active 模型快速推理。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构造 AI 输入摘要：02_build_ai_summary.py 读取预测结果、风险、模型和业务摘要。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生成 AI 报告：03_llm_generate_report.py 调用本地 LLM 或兜底模板生成结构化报告。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派发归档：04_dispatch_report.py 将报告、摘要、日志和清单写入 自动化输出/current 与 dispatch 目录。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后续步骤包括真实值回填、模型监控、候选模型比较、数据库闭环、健康检查和核心数据入库。</w:t>
      </w:r>
    </w:p>
    <w:p>
      <w:pPr>
        <w:pStyle w:val="Heading1"/>
      </w:pPr>
      <w:r>
        <w:rPr>
          <w:rFonts w:ascii="Calibri" w:hAnsi="Calibri" w:eastAsia="Microsoft YaHei"/>
        </w:rPr>
        <w:t>9. 数据来源与数据处理流程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6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数据源</w:t>
            </w:r>
          </w:p>
        </w:tc>
        <w:tc>
          <w:tcPr>
            <w:tcW w:type="dxa" w:w="19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位置/接口</w:t>
            </w:r>
          </w:p>
        </w:tc>
        <w:tc>
          <w:tcPr>
            <w:tcW w:type="dxa" w:w="11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格式</w:t>
            </w:r>
          </w:p>
        </w:tc>
        <w:tc>
          <w:tcPr>
            <w:tcW w:type="dxa" w:w="26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处理逻辑</w:t>
            </w:r>
          </w:p>
        </w:tc>
        <w:tc>
          <w:tcPr>
            <w:tcW w:type="dxa" w:w="216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输出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PJM 日前/实时价格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fetch_power_market_data.py Data Miner 2</w:t>
            </w:r>
          </w:p>
        </w:tc>
        <w:tc>
          <w:tcPr>
            <w:tcW w:type="dxa" w:w="1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JSON API -&gt; Excel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分页拉取、增量合并、去重、标准化时间和节点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output/da_price、rt_price 相关 Excel；数据库 raw_* 表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PJM 负荷/预测负荷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fetch_power_market_data.py</w:t>
            </w:r>
          </w:p>
        </w:tc>
        <w:tc>
          <w:tcPr>
            <w:tcW w:type="dxa" w:w="1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JSON API -&gt; Excel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选择日前预测、修复 forecast_load_selected、构建主表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forecast_load_selected.xlsx、master_table.xlsx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天气数据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Open-Meteo API，根据配置经纬度</w:t>
            </w:r>
          </w:p>
        </w:tc>
        <w:tc>
          <w:tcPr>
            <w:tcW w:type="dxa" w:w="1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JSON -&gt; DataFrame/Excel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小时级天气字段标准化，与市场时区对齐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raw_weather、master_table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历史主表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output/master_table.xlsx</w:t>
            </w:r>
          </w:p>
        </w:tc>
        <w:tc>
          <w:tcPr>
            <w:tcW w:type="dxa" w:w="1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Excel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合并电价、负荷、天气，统一 datetime，去重排序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建模输入表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预测结果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结果-3/结果表</w:t>
            </w:r>
          </w:p>
        </w:tc>
        <w:tc>
          <w:tcPr>
            <w:tcW w:type="dxa" w:w="1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Excel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未来 24 小时预测、业务摘要、模型诊断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forecast_runs、forecast_results、报告输入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电价规则资产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electricity_tariff_output/02_processed_data</w:t>
            </w:r>
          </w:p>
        </w:tc>
        <w:tc>
          <w:tcPr>
            <w:tcW w:type="dxa" w:w="1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CSV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按规则表、政策表、电站核对、南网税率和市电汇总清洗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pv_tariff_rules、pv_policy_files、pv_station_tariff_check 等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知识库文档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knowledge_base/*.md、electricity_tariff_output/04_knowledge_base_tariff_policy</w:t>
            </w:r>
          </w:p>
        </w:tc>
        <w:tc>
          <w:tcPr>
            <w:tcW w:type="dxa" w:w="1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Markdown/文本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文本检索和关键词匹配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AI 助手知识库引用；当前未发现向量索引库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</w:rPr>
        <w:t>9.1 electricity_tariff_output 数据资产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数据文件</w:t>
            </w:r>
          </w:p>
        </w:tc>
        <w:tc>
          <w:tcPr>
            <w:tcW w:type="dxa" w:w="7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行数</w:t>
            </w:r>
          </w:p>
        </w:tc>
        <w:tc>
          <w:tcPr>
            <w:tcW w:type="dxa" w:w="38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核心字段</w:t>
            </w:r>
          </w:p>
        </w:tc>
        <w:tc>
          <w:tcPr>
            <w:tcW w:type="dxa" w:w="276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pv_tariff_rules.csv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1722</w:t>
            </w:r>
          </w:p>
        </w:tc>
        <w:tc>
          <w:tcPr>
            <w:tcW w:type="dxa" w:w="3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province、city、start_date、end_date、on_grid_price、subsidy_start_date、subsidy_years、subsidy_price、total_price、remark</w:t>
            </w:r>
          </w:p>
        </w:tc>
        <w:tc>
          <w:tcPr>
            <w:tcW w:type="dxa" w:w="27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上线用初始化电价表入库，支持光伏上网电价和补贴查询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pv_policy_files.csv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53</w:t>
            </w:r>
          </w:p>
        </w:tc>
        <w:tc>
          <w:tcPr>
            <w:tcW w:type="dxa" w:w="3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publish_date、doc_number、doc_title、summary、doc_image、related_clauses</w:t>
            </w:r>
          </w:p>
        </w:tc>
        <w:tc>
          <w:tcPr>
            <w:tcW w:type="dxa" w:w="27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政策摘要和知识库证据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pv_station_tariff_check.csv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122</w:t>
            </w:r>
          </w:p>
        </w:tc>
        <w:tc>
          <w:tcPr>
            <w:tcW w:type="dxa" w:w="3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station_id、province、city、grid_connect_date、power_bureau_price、system_power_price、difference_flag</w:t>
            </w:r>
          </w:p>
        </w:tc>
        <w:tc>
          <w:tcPr>
            <w:tcW w:type="dxa" w:w="27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电站电价核对工具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pv_tariff_period_rules.csv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300</w:t>
            </w:r>
          </w:p>
        </w:tc>
        <w:tc>
          <w:tcPr>
            <w:tcW w:type="dxa" w:w="3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省份、地区、电网类型、分段电价/补贴/总价、文件截图</w:t>
            </w:r>
          </w:p>
        </w:tc>
        <w:tc>
          <w:tcPr>
            <w:tcW w:type="dxa" w:w="27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分时期/区域电价规则补充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market_power_price_rules.csv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13</w:t>
            </w:r>
          </w:p>
        </w:tc>
        <w:tc>
          <w:tcPr>
            <w:tcW w:type="dxa" w:w="3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business_month、province、desulfurized_coal_price、market_electricity_price、comprehensive_price</w:t>
            </w:r>
          </w:p>
        </w:tc>
        <w:tc>
          <w:tcPr>
            <w:tcW w:type="dxa" w:w="27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市电/市场化电价查询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southern_grid_tax_rules.csv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103</w:t>
            </w:r>
          </w:p>
        </w:tc>
        <w:tc>
          <w:tcPr>
            <w:tcW w:type="dxa" w:w="3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province、city、district、withholding_entity、vat_rate、回款金额公式、凭证字段</w:t>
            </w:r>
          </w:p>
        </w:tc>
        <w:tc>
          <w:tcPr>
            <w:tcW w:type="dxa" w:w="27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南网税率、代扣代缴和凭证规则查询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10. 数据分析、特征工程与建模流程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数据标准化：standardize_datetime_frame 统一 datetime 类型、排序并按时间去重。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基础特征：create_time_features 生成 hour、day_of_week、month、week_of_year、is_weekend 等时间特征。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历史特征：create_lag_features、create_rolling_features、create_ewm_features 生成滞后、滚动、指数加权等历史统计特征。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业务特征：add_safe_business_features 生成高峰、负荷、天气和场景相关特征，build_feature_list 过滤当前小时不可得字段，降低数据泄漏风险。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模型候选：model_selection.py 提供基础模型、高峰专项模型、尖峰分类器候选和融合参数搜索。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训练输出：model_trainer.py 保存 base_model.joblib、peak_model.joblib、spike_classifier.joblib、可选 p90_model、feature_cols、metrics、thresholds、manifest 和 model_card。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快速预测：fast_forecast.py 加载 Active 模型和 170 个左右特征，生成 base、peak、spike_prob、blend_weight、predicted_price、risk_level 和业务摘要。</w:t>
      </w:r>
    </w:p>
    <w:p>
      <w:pPr>
        <w:pStyle w:val="Heading1"/>
      </w:pPr>
      <w:r>
        <w:rPr>
          <w:rFonts w:ascii="Calibri" w:hAnsi="Calibri" w:eastAsia="Microsoft YaHei"/>
        </w:rPr>
        <w:t>11. 模型与算法逻辑说明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模型/算法</w:t>
            </w:r>
          </w:p>
        </w:tc>
        <w:tc>
          <w:tcPr>
            <w:tcW w:type="dxa" w:w="17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所在文件</w:t>
            </w:r>
          </w:p>
        </w:tc>
        <w:tc>
          <w:tcPr>
            <w:tcW w:type="dxa" w:w="19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11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输出</w:t>
            </w:r>
          </w:p>
        </w:tc>
        <w:tc>
          <w:tcPr>
            <w:tcW w:type="dxa" w:w="19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  <w:tc>
          <w:tcPr>
            <w:tcW w:type="dxa" w:w="126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评估/风险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基础电价回归模型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model_artifacts/*/base_model.joblib、model_trainer.py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170 个左右时间、负荷、天气、历史统计特征</w:t>
            </w:r>
          </w:p>
        </w:tc>
        <w:tc>
          <w:tcPr>
            <w:tcW w:type="dxa" w:w="1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base_prediction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预测常规日前电价水平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以 MAE、RMSE、R2、MAPE 评估；需防止不可得字段泄漏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高峰专项模型 Peak_HistGB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peak_model.joblib、active_model_loader.py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高峰时段和负荷/风险场景特征</w:t>
            </w:r>
          </w:p>
        </w:tc>
        <w:tc>
          <w:tcPr>
            <w:tcW w:type="dxa" w:w="1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peak_prediction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增强高峰/尖峰时段预测能力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需单独看高峰误差，避免整体指标掩盖风险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尖峰风险分类器 Spike_RF_Classifier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spike_classifier.joblib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同一特征集</w:t>
            </w:r>
          </w:p>
        </w:tc>
        <w:tc>
          <w:tcPr>
            <w:tcW w:type="dxa" w:w="1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spike_risk_prob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识别尖峰/高风险概率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阈值如 best_spike_threshold=0.7；需关注召回率和误报率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P90 分位/高位模型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p90_model.joblib，可选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特征矩阵</w:t>
            </w:r>
          </w:p>
        </w:tc>
        <w:tc>
          <w:tcPr>
            <w:tcW w:type="dxa" w:w="1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p90_prediction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为高价风险提供上界参考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部分模型产物包含 has_p90_model；并非所有版本都有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融合策略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model_selection.py、active_model_loader.py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base_pred、peak_pred、risk_prob、peak_flags、alpha、floor</w:t>
            </w:r>
          </w:p>
        </w:tc>
        <w:tc>
          <w:tcPr>
            <w:tcW w:type="dxa" w:w="1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blended_pred/predicted_price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按风险和高峰场景融合基础与专项模型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best_alpha、best_peak_floor 由验证搜索决定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残差区间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formal_forecast.py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未来预测结果、测试集预测残差</w:t>
            </w:r>
          </w:p>
        </w:tc>
        <w:tc>
          <w:tcPr>
            <w:tcW w:type="dxa" w:w="1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预测区间字段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补充不确定性表达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依赖历史测试残差质量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误差记忆/偏差校正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model_ops/error_memory.py、bias_corrector.py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prediction_tracking 真实值回填</w:t>
            </w:r>
          </w:p>
        </w:tc>
        <w:tc>
          <w:tcPr>
            <w:tcW w:type="dxa" w:w="1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scenario_mae、bias_adjustment、corrected price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按相似场景修正预测偏差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样本不足时不宜强校正</w:t>
            </w:r>
          </w:p>
        </w:tc>
      </w:tr>
    </w:tbl>
    <w:p>
      <w:r>
        <w:rPr>
          <w:rFonts w:ascii="Calibri" w:hAnsi="Calibri" w:eastAsia="Microsoft YaHei"/>
        </w:rPr>
        <w:t>当前模型产物示例：model_20260526_192921 使用 LightGBM_raw、Peak_HistGB、Spike_RF_Classifier，feature_version 为 features_140db8af25f9，feature_cols.json 约 170 个特征。根据代码推断，LightGBM 依赖为可选项，若本机未安装则需使用可用候选模型或重新安装依赖。</w:t>
      </w:r>
    </w:p>
    <w:p>
      <w:pPr>
        <w:pStyle w:val="Heading1"/>
      </w:pPr>
      <w:r>
        <w:rPr>
          <w:rFonts w:ascii="Calibri" w:hAnsi="Calibri" w:eastAsia="Microsoft YaHei"/>
        </w:rPr>
        <w:t>12. AI 大模型接入与调用逻辑</w:t>
      </w:r>
    </w:p>
    <w:p>
      <w:r>
        <w:rPr>
          <w:rFonts w:ascii="Calibri" w:hAnsi="Calibri" w:eastAsia="Microsoft YaHei"/>
        </w:rPr>
        <w:t>当前项目存在两套 AI 相关代码：较新的 backend/app/ai_assistant 是主用准确问答工具链；backend/app/ai 与 backend/langgraph_agent 保留了早期/第二阶段探索能力。AI 助手并不是直接自由生成，而是先识别意图并调用工具，再可选使用本地 LLM 总结。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3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环节</w:t>
            </w:r>
          </w:p>
        </w:tc>
        <w:tc>
          <w:tcPr>
            <w:tcW w:type="dxa" w:w="25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主要文件</w:t>
            </w:r>
          </w:p>
        </w:tc>
        <w:tc>
          <w:tcPr>
            <w:tcW w:type="dxa" w:w="556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逻辑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输入归一化</w:t>
            </w:r>
          </w:p>
        </w:tc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core/input_normalizer.py、context_resolver.py</w:t>
            </w:r>
          </w:p>
        </w:tc>
        <w:tc>
          <w:tcPr>
            <w:tcW w:type="dxa" w:w="5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清洗用户问题，结合会话状态解析追问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意图识别</w:t>
            </w:r>
          </w:p>
        </w:tc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core/intent_router.py</w:t>
            </w:r>
          </w:p>
        </w:tc>
        <w:tc>
          <w:tcPr>
            <w:tcW w:type="dxa" w:w="5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识别预测、天气、储能、风险、模型、报告、电价规则、南网税率、知识库等 intent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工具路由</w:t>
            </w:r>
          </w:p>
        </w:tc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core/tool_router.py、tools/__init__.py</w:t>
            </w:r>
          </w:p>
        </w:tc>
        <w:tc>
          <w:tcPr>
            <w:tcW w:type="dxa" w:w="5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将 intent 映射到 get_forecast_metrics、query_pv_tariff、check_station_tariff 等工具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证据构造</w:t>
            </w:r>
          </w:p>
        </w:tc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service.py、tools/*.py</w:t>
            </w:r>
          </w:p>
        </w:tc>
        <w:tc>
          <w:tcPr>
            <w:tcW w:type="dxa" w:w="5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从预测结果、数据库、电价 CSV、知识库文档、报告摘要中提取 evidence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答案规划</w:t>
            </w:r>
          </w:p>
        </w:tc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core/answer_planner.py、templates/*.py</w:t>
            </w:r>
          </w:p>
        </w:tc>
        <w:tc>
          <w:tcPr>
            <w:tcW w:type="dxa" w:w="5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按照结论、数据依据、原因解释、业务建议、风险提示组织回答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LLM 总结</w:t>
            </w:r>
          </w:p>
        </w:tc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core/llm_client.py、backend/model_gateway</w:t>
            </w:r>
          </w:p>
        </w:tc>
        <w:tc>
          <w:tcPr>
            <w:tcW w:type="dxa" w:w="5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通过 Ollama qwen3:4b 或 OpenAI-compatible 网关生成/润色，配置中 temperature=0.2、max_tokens=2200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安全校验</w:t>
            </w:r>
          </w:p>
        </w:tc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core/answer_guard.py、system_prompt.txt</w:t>
            </w:r>
          </w:p>
        </w:tc>
        <w:tc>
          <w:tcPr>
            <w:tcW w:type="dxa" w:w="5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避免编造数值、泄露配置、输出不可靠的绝对交易建议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Trace/记忆</w:t>
            </w:r>
          </w:p>
        </w:tc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trace_manager.py、conversation_state.py、core_data_sync.py</w:t>
            </w:r>
          </w:p>
        </w:tc>
        <w:tc>
          <w:tcPr>
            <w:tcW w:type="dxa" w:w="5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记录 tool calls、evidence、guard_result、trace_json 到 ai_traces 和会话文件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</w:rPr>
        <w:t>12.1 完整调用链路</w:t>
      </w:r>
    </w:p>
    <w:p>
      <w:r>
        <w:rPr>
          <w:rFonts w:ascii="Calibri" w:hAnsi="Calibri" w:eastAsia="Microsoft YaHei"/>
        </w:rPr>
        <w:t>用户输入 → normalize_question → resolve_followup → route_intent → tools_for_intent → execute_tool → _evidence/_data_used → _build_answer → summarize_with_local_llm（可选）→ guard_answer → save_ai_trace_record/save_chat_exchange → 前端展示 Trace、工具、数据来源和可信度。</w:t>
      </w:r>
    </w:p>
    <w:p>
      <w:pPr>
        <w:pStyle w:val="Heading2"/>
      </w:pPr>
      <w:r>
        <w:rPr>
          <w:rFonts w:ascii="Calibri" w:hAnsi="Calibri" w:eastAsia="Microsoft YaHei"/>
        </w:rPr>
        <w:t>12.2 当前不足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当前知识库检索主要是文件/关键词检索，未发现真实 Embedding、向量库或重排模型接入。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Dify 配置存在但 enabled=false，当前未发现生产链路依赖 Dify。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LLM Gateway 已有雏形，但业务层仍存在部分本地 Ollama/Qwen 语义，后续应进一步统一 provider 抽象。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AI QA 测试集已有，但应继续扩充电价政策、异常交易、报告审核和多轮追问场景。</w:t>
      </w:r>
    </w:p>
    <w:p>
      <w:pPr>
        <w:pStyle w:val="Heading1"/>
      </w:pPr>
      <w:r>
        <w:rPr>
          <w:rFonts w:ascii="Calibri" w:hAnsi="Calibri" w:eastAsia="Microsoft YaHei"/>
        </w:rPr>
        <w:t>13. 接口与 API 调用说明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1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接口路径</w:t>
            </w:r>
          </w:p>
        </w:tc>
        <w:tc>
          <w:tcPr>
            <w:tcW w:type="dxa" w:w="7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方法</w:t>
            </w:r>
          </w:p>
        </w:tc>
        <w:tc>
          <w:tcPr>
            <w:tcW w:type="dxa" w:w="18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所在文件</w:t>
            </w:r>
          </w:p>
        </w:tc>
        <w:tc>
          <w:tcPr>
            <w:tcW w:type="dxa" w:w="15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入参</w:t>
            </w:r>
          </w:p>
        </w:tc>
        <w:tc>
          <w:tcPr>
            <w:tcW w:type="dxa" w:w="26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出参/作用</w:t>
            </w:r>
          </w:p>
        </w:tc>
        <w:tc>
          <w:tcPr>
            <w:tcW w:type="dxa" w:w="66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调用方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/api/health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system.py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无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服务状态、版本、平台名称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前端/健康检查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/api/business-summary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system.py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无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业务摘要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首页/报告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/api/data/status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data.py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无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数据源状态、更新时间、完整率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数据中心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/api/data/tables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data.py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search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数据库表/视图列表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数据中心表浏览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/api/data/tables/{table_name}/rows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data.py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search、limit、offset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表数据预览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数据中心表浏览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/api/data/sync-core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data.py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无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同步预测、模型、电价规则资产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数据中心/任务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/api/dashboard/summary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forecast.py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无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首页指标和图表数据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首页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/api/forecast/run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forecast.py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mode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启动预测任务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预测中心/任务中心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/api/forecast/latest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forecast.py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无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最新预测结果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预测中心/策略/AI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/api/forecast/{run_id}/hour/{hour}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forecast.py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run_id、hour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单小时预测解释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预测中心/AI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/api/strategy/generate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strategy.py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无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生成策略建议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策略中心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/api/strategy/latest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strategy.py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无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最新策略建议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策略中心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/api/anomaly/explain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strategy.py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无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生成异常解释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策略中心/报告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/api/ai/chat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assistant.py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question、session_id、run_id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AI 回答、工具、Trace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AI 助手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/api/ai/agent/analyze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assistant.py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question、session_id、run_id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当前委托准确问答链路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AI 助手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/api/ai/feedback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assistant.py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trace_id、rating、comment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答案反馈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AI 助手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/api/reports/generate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report.py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run_id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生成报告任务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报告中心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/api/reports/latest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report.py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无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最新报告状态/预览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报告中心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/api/reports/{report_id}/approve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report.py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review payload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审核通过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报告中心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/api/models/active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model.py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无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Active 模型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模型中心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/api/models/metrics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model.py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无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模型指标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模型中心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/api/models/errors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model.py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无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模型误差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模型中心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/api/tasks/run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task.py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kind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启动任务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任务中心/各页面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/api/tasks/{task_id}/logs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task.py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task_id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任务日志文本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任务中心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/api/model-gateway/chat/completions</w:t>
            </w:r>
          </w:p>
        </w:tc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backend/model_gateway/router.py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messages、model、temperature</w:t>
            </w:r>
          </w:p>
        </w:tc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OpenAI-compatible 聊天结果</w:t>
            </w:r>
          </w:p>
        </w:tc>
        <w:tc>
          <w:tcPr>
            <w:tcW w:type="dxa" w:w="6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AI/报告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14. 数据库与存储设计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5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6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表/视图</w:t>
            </w:r>
          </w:p>
        </w:tc>
        <w:tc>
          <w:tcPr>
            <w:tcW w:type="dxa" w:w="426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模型注册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model_registry、vw_latest_active_model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记录模型版本、产物路径、状态和 Active 模型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预测追踪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prediction_tracking、vw_recent_model_errors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记录预测批次、未来预测、真实值回填和误差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模型评估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model_evaluation_runs、vw_model_comparison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模型评估批次和对比视图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监控运维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monitoring_metrics、model_performance_daily、model_retrain_jobs、model_comparison_runs、audit_logs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模型性能、重训、候选对比和审计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报告审核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report_approval_runs、ai_report_review_runs、report_reviews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AI 报告审核、驳回、发布记录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AI 助手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ai_tool_call_logs、ai_prompt_templates、ai_chat_feedback、ai_conversation_state、ai_answer_feedback、ai_qa_test_cases、ai_traces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工具调用、Prompt、反馈、会话、测试和 Trace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Web 平台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analysis_runs、strategy_advice、ai_chat_sessions、ai_chat_messages、anomaly_explanations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任务、策略、会话、异常解释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核心事实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forecast_runs、forecast_results、model_versions、model_metrics、task_logs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前端第二阶段事实来源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电价规则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pv_tariff_rules、pv_policy_files、pv_station_tariff_check、market_power_price_rules、southern_grid_tax_rules、pv_tariff_period_rules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政策电价、核对数据、市电、南网税率和分段规则</w:t>
            </w:r>
          </w:p>
        </w:tc>
      </w:tr>
    </w:tbl>
    <w:p>
      <w:r>
        <w:rPr>
          <w:rFonts w:ascii="Calibri" w:hAnsi="Calibri" w:eastAsia="Microsoft YaHei"/>
        </w:rPr>
        <w:t>根据已执行同步结果，核心入库已覆盖 forecast_runs、forecast_results、model_versions、model_metrics、task_logs、ai_traces 和 6 类电价规则资产。数据库逐步成为事实来源，但 Excel/文件输出仍保留为兼容和导出来源。</w:t>
      </w:r>
    </w:p>
    <w:p>
      <w:pPr>
        <w:pStyle w:val="Heading1"/>
      </w:pPr>
      <w:r>
        <w:rPr>
          <w:rFonts w:ascii="Calibri" w:hAnsi="Calibri" w:eastAsia="Microsoft YaHei"/>
        </w:rPr>
        <w:t>15. 配置文件与环境变量说明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0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配置文件</w:t>
            </w:r>
          </w:p>
        </w:tc>
        <w:tc>
          <w:tcPr>
            <w:tcW w:type="dxa" w:w="28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  <w:tc>
          <w:tcPr>
            <w:tcW w:type="dxa" w:w="456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重点字段</w:t>
            </w:r>
          </w:p>
        </w:tc>
      </w:tr>
      <w:tr>
        <w:tc>
          <w:tcPr>
            <w:tcW w:type="dxa" w:w="20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.env / .env.example</w:t>
            </w:r>
          </w:p>
        </w:tc>
        <w:tc>
          <w:tcPr>
            <w:tcW w:type="dxa" w:w="2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本地环境变量模板和实际配置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DB_*、LLM_*、PJM_*、WEATHER_*、PIPELINE_*、VITE_API_BASE_URL</w:t>
            </w:r>
          </w:p>
        </w:tc>
      </w:tr>
      <w:tr>
        <w:tc>
          <w:tcPr>
            <w:tcW w:type="dxa" w:w="20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llm_service_config.yaml</w:t>
            </w:r>
          </w:p>
        </w:tc>
        <w:tc>
          <w:tcPr>
            <w:tcW w:type="dxa" w:w="2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运行配置主文件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database、market、llm、local_model_gateway、model_learning、paths、dispatch</w:t>
            </w:r>
          </w:p>
        </w:tc>
      </w:tr>
      <w:tr>
        <w:tc>
          <w:tcPr>
            <w:tcW w:type="dxa" w:w="20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config_loader.py</w:t>
            </w:r>
          </w:p>
        </w:tc>
        <w:tc>
          <w:tcPr>
            <w:tcW w:type="dxa" w:w="2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加载 YAML 与 .env，并用环境变量覆盖配置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load_dotenv、apply_env_overrides、require_secret</w:t>
            </w:r>
          </w:p>
        </w:tc>
      </w:tr>
      <w:tr>
        <w:tc>
          <w:tcPr>
            <w:tcW w:type="dxa" w:w="20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automation_common.py</w:t>
            </w:r>
          </w:p>
        </w:tc>
        <w:tc>
          <w:tcPr>
            <w:tcW w:type="dxa" w:w="2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统一路径、运行上下文、日志、JSON/Excel 工具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PipelinePaths、get_pipeline_paths、get_run_context</w:t>
            </w:r>
          </w:p>
        </w:tc>
      </w:tr>
      <w:tr>
        <w:tc>
          <w:tcPr>
            <w:tcW w:type="dxa" w:w="20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frontend/package.json</w:t>
            </w:r>
          </w:p>
        </w:tc>
        <w:tc>
          <w:tcPr>
            <w:tcW w:type="dxa" w:w="2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前端依赖与脚本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dev、build、preview；React、Vite、AntD、ECharts</w:t>
            </w:r>
          </w:p>
        </w:tc>
      </w:tr>
      <w:tr>
        <w:tc>
          <w:tcPr>
            <w:tcW w:type="dxa" w:w="20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requirements.txt</w:t>
            </w:r>
          </w:p>
        </w:tc>
        <w:tc>
          <w:tcPr>
            <w:tcW w:type="dxa" w:w="2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Python 依赖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pandas、numpy、scikit-learn、SQLAlchemy、FastAPI、python-docx 等</w:t>
            </w:r>
          </w:p>
        </w:tc>
      </w:tr>
      <w:tr>
        <w:tc>
          <w:tcPr>
            <w:tcW w:type="dxa" w:w="20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docker-compose.yml</w:t>
            </w:r>
          </w:p>
        </w:tc>
        <w:tc>
          <w:tcPr>
            <w:tcW w:type="dxa" w:w="28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容器编排雏形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当前项目中仅发现基础配置，企业级 Docker 部署仍需补全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16. 项目部署与运行方式</w:t>
      </w:r>
    </w:p>
    <w:p>
      <w:pPr>
        <w:pStyle w:val="Heading2"/>
      </w:pPr>
      <w:r>
        <w:rPr>
          <w:rFonts w:ascii="Calibri" w:hAnsi="Calibri" w:eastAsia="Microsoft YaHei"/>
        </w:rPr>
        <w:t>16.1 本地演示运行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安装 Python 依赖：pip install -r requirements.txt。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安装前端依赖：cd frontend &amp;&amp; npm install。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准备 MySQL，并在 .env 或 llm_service_config.yaml 中配置 DB_ENABLED、DB_HOST、DB_NAME、DB_USER、DB_PASSWORD。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如需本地大模型，先安装/启动 Ollama，并运行 run_ollama_qwen3.bat 或 start_ollama_qwen3.ps1。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启动后端：run_web_backend.bat。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启动前端：run_web_frontend.bat。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运行冒烟测试：run_web_smoke_test.bat 或 pytest -q。</w:t>
      </w:r>
    </w:p>
    <w:p>
      <w:pPr>
        <w:pStyle w:val="Heading2"/>
      </w:pPr>
      <w:r>
        <w:rPr>
          <w:rFonts w:ascii="Calibri" w:hAnsi="Calibri" w:eastAsia="Microsoft YaHei"/>
        </w:rPr>
        <w:t>16.2 企业化部署建议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保留 FastAPI 模块化单体部署，不建议现阶段拆微服务。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Docker Compose 应至少包含 backend、frontend/nginx、mysql、ollama/模型服务、可选对象存储和定时任务容器。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生产环境必须把 DB 密码、LLM Key、PJM Key 放入环境变量或密钥管理，不写入仓库。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前端构建产物可由 nginx 托管，/api 反向代理到 FastAPI。</w:t>
      </w:r>
    </w:p>
    <w:p>
      <w:pPr>
        <w:pStyle w:val="Heading1"/>
      </w:pPr>
      <w:r>
        <w:rPr>
          <w:rFonts w:ascii="Calibri" w:hAnsi="Calibri" w:eastAsia="Microsoft YaHei"/>
        </w:rPr>
        <w:t>17. 当前项目完成度评估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6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9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完成度</w:t>
            </w:r>
          </w:p>
        </w:tc>
        <w:tc>
          <w:tcPr>
            <w:tcW w:type="dxa" w:w="330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证据</w:t>
            </w:r>
          </w:p>
        </w:tc>
        <w:tc>
          <w:tcPr>
            <w:tcW w:type="dxa" w:w="3560"/>
            <w:vAlign w:val="top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备注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前端 UI 工程化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较高</w:t>
            </w:r>
          </w:p>
        </w:tc>
        <w:tc>
          <w:tcPr>
            <w:tcW w:type="dxa" w:w="3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frontend/src 已拆分 app/layout/pages/components/services/mock/theme/types</w:t>
            </w:r>
          </w:p>
        </w:tc>
        <w:tc>
          <w:tcPr>
            <w:tcW w:type="dxa" w:w="3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10 个页面均有页面组件和二级菜单状态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后端模块化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较高</w:t>
            </w:r>
          </w:p>
        </w:tc>
        <w:tc>
          <w:tcPr>
            <w:tcW w:type="dxa" w:w="3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backend/app/main.py + api/v1/endpoints + platform_services/data_access/task_manager</w:t>
            </w:r>
          </w:p>
        </w:tc>
        <w:tc>
          <w:tcPr>
            <w:tcW w:type="dxa" w:w="3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仍可继续拆 repositories/schemas/service 边界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预测建模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较高</w:t>
            </w:r>
          </w:p>
        </w:tc>
        <w:tc>
          <w:tcPr>
            <w:tcW w:type="dxa" w:w="3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prediction_engine、model_artifacts、model_ops</w:t>
            </w:r>
          </w:p>
        </w:tc>
        <w:tc>
          <w:tcPr>
            <w:tcW w:type="dxa" w:w="3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完整训练和快速预测并存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核心数据入库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中高</w:t>
            </w:r>
          </w:p>
        </w:tc>
        <w:tc>
          <w:tcPr>
            <w:tcW w:type="dxa" w:w="3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migrations/013、core_data_sync.py</w:t>
            </w:r>
          </w:p>
        </w:tc>
        <w:tc>
          <w:tcPr>
            <w:tcW w:type="dxa" w:w="3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事实表已建，前端仍有部分 Mock/文件兜底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AI 助手工具链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中高</w:t>
            </w:r>
          </w:p>
        </w:tc>
        <w:tc>
          <w:tcPr>
            <w:tcW w:type="dxa" w:w="3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ai_assistant tools、intent_router、Trace、tariff tools</w:t>
            </w:r>
          </w:p>
        </w:tc>
        <w:tc>
          <w:tcPr>
            <w:tcW w:type="dxa" w:w="3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已避免纯自由发挥，但知识库未向量化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报告中心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中</w:t>
            </w:r>
          </w:p>
        </w:tc>
        <w:tc>
          <w:tcPr>
            <w:tcW w:type="dxa" w:w="3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03_llm_generate_report.py、report endpoints、review tables</w:t>
            </w:r>
          </w:p>
        </w:tc>
        <w:tc>
          <w:tcPr>
            <w:tcW w:type="dxa" w:w="3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结构化报告和审核存在，模板化/版本化需增强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权限与审计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偏低</w:t>
            </w:r>
          </w:p>
        </w:tc>
        <w:tc>
          <w:tcPr>
            <w:tcW w:type="dxa" w:w="3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settings 页面和 audit_logs 表</w:t>
            </w:r>
          </w:p>
        </w:tc>
        <w:tc>
          <w:tcPr>
            <w:tcW w:type="dxa" w:w="3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当前未发现完整登录、RBAC 和接口鉴权实现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企业级部署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偏低</w:t>
            </w:r>
          </w:p>
        </w:tc>
        <w:tc>
          <w:tcPr>
            <w:tcW w:type="dxa" w:w="3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docker-compose.yml、bat 脚本</w:t>
            </w:r>
          </w:p>
        </w:tc>
        <w:tc>
          <w:tcPr>
            <w:tcW w:type="dxa" w:w="3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本地运行成熟，容器化与生产运维待完善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测试覆盖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中高</w:t>
            </w:r>
          </w:p>
        </w:tc>
        <w:tc>
          <w:tcPr>
            <w:tcW w:type="dxa" w:w="330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tests 覆盖 AI、Web、迁移、模型、脚本</w:t>
            </w:r>
          </w:p>
        </w:tc>
        <w:tc>
          <w:tcPr>
            <w:tcW w:type="dxa" w:w="3560"/>
            <w:vAlign w:val="top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前端 E2E 和视觉回归仍可补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18. 存在问题与风险点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编码风险：部分历史 Python 文件和配置在控制台读取时出现中文乱码，说明文件编码/终端编码仍需统一到 UTF-8 并避免脚本名中文依赖过重。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历史大脚本依赖：prediction_engine/features.py 仍大量委托 legacy_engine，说明核心算法尚未完全模块化。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数据库与文件双源：前端和后端仍同时从 Excel、JSON、数据库读取数据，短期便于兼容，但长期会产生事实源不一致。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权限缺口：当前未发现完整登录、鉴权、RBAC、租户隔离和敏感操作审计闭环。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LLM 风险：本地 LLM 可选总结仍可能产生措辞漂移，需坚持工具证据优先和 Guard 约束。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知识库能力不足：当前主要是关键词/文件检索，未发现 Embedding、向量库、切片、重排和引用定位。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模型风险：需要持续监控高峰时段误差、尖峰召回率、数据漂移和真实值回填质量，不能只看整体 RMSE。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前端 Mock 残留：UI 已可演示，但部分页面仍需从 Mock 切换到真实服务接口和数据库事实表。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部署风险：Docker Compose 企业版尚不完整，生产环境的健康检查、日志、备份、监控、密钥管理需补齐。</w:t>
      </w:r>
    </w:p>
    <w:p>
      <w:pPr>
        <w:pStyle w:val="Heading1"/>
      </w:pPr>
      <w:r>
        <w:rPr>
          <w:rFonts w:ascii="Calibri" w:hAnsi="Calibri" w:eastAsia="Microsoft YaHei"/>
        </w:rPr>
        <w:t>19. 优化建议与后续开发方案</w:t>
      </w:r>
    </w:p>
    <w:p>
      <w:pPr>
        <w:pStyle w:val="Heading2"/>
      </w:pPr>
      <w:r>
        <w:rPr>
          <w:rFonts w:ascii="Calibri" w:hAnsi="Calibri" w:eastAsia="Microsoft YaHei"/>
        </w:rPr>
        <w:t>19.1 短期可立即优化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统一编码与路径规范：Python 文件、YAML、bat、README 均按 UTF-8 保存；对中文脚本名逐步提供英文别名入口。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前端从 Mock 切真实接口：优先替换 Dashboard、DataCenter、ForecastCenter、StrategyCenter、Assistant 的核心数据源。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补齐接口统一响应：逐步引入 code、message、data、trace_id、timestamp，前端统一错误提示。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完善数据库表浏览和核心入库按钮的状态反馈：显示同步计数、失败原因和最近更新时间。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扩充 AI QA：覆盖电价政策、电站核对、市电规则、南网税率、多轮追问和异常输入。</w:t>
      </w:r>
    </w:p>
    <w:p>
      <w:pPr>
        <w:pStyle w:val="Heading2"/>
      </w:pPr>
      <w:r>
        <w:rPr>
          <w:rFonts w:ascii="Calibri" w:hAnsi="Calibri" w:eastAsia="Microsoft YaHei"/>
        </w:rPr>
        <w:t>19.2 中期需要重构优化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将历史预测大脚本彻底拆入 prediction_engine 的数据、特征、训练、预测、评估、输出模块。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建立 repositories 层：把 SQL、Excel fallback、数据库访问统一封装，接口层不直接处理数据读取细节。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数据事实源迁移：预测、模型、任务、报告、AI Trace、电价规则以 MySQL 为主，Excel 只作为导出和历史兼容。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建设真正 RAG：文档切片、Embedding、向量库、关键词混合检索、重排、引用定位、召回评估。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模型上线流程：Candidate 评估、人工审批、Active 切换、回滚、模型卡和审计日志闭环。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权限体系：登录、角色、资源权限、接口鉴权、敏感配置隐藏和操作审计。</w:t>
      </w:r>
    </w:p>
    <w:p>
      <w:pPr>
        <w:pStyle w:val="Heading2"/>
      </w:pPr>
      <w:r>
        <w:rPr>
          <w:rFonts w:ascii="Calibri" w:hAnsi="Calibri" w:eastAsia="Microsoft YaHei"/>
        </w:rPr>
        <w:t>19.3 长期产品化/企业级落地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企业部署包：Docker Compose / Helm、数据库迁移、初始化数据、备份恢复、日志采集和监控告警。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多市场/多区域扩展：抽象市场适配器，支持 PJM、国内省级电价规则、南网/国网差异化规则。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策略仿真闭环：把储能容量、SOC、合同约束、交易规则、实时价格回测纳入策略收益评估。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AI 成本与质量治理：模型网关支持多 Provider、token 预算、缓存、审计、答案评分和灰度发布。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数据治理：数据血缘、字段字典、质量规则、异常工单、数据更新 SLA 和缺失补采机制。</w:t>
      </w:r>
    </w:p>
    <w:p>
      <w:pPr>
        <w:pStyle w:val="Heading1"/>
      </w:pPr>
      <w:r>
        <w:rPr>
          <w:rFonts w:ascii="Calibri" w:hAnsi="Calibri" w:eastAsia="Microsoft YaHei"/>
        </w:rPr>
        <w:t>20. 总结</w:t>
      </w:r>
    </w:p>
    <w:p>
      <w:r>
        <w:rPr>
          <w:rFonts w:ascii="Calibri" w:hAnsi="Calibri" w:eastAsia="Microsoft YaHei"/>
        </w:rPr>
        <w:t>当前项目已经具备从“预测脚本”升级为“AI 售电交易决策平台”的基础：预测模型、数据采集、模型运维、Web 后台、AI 助手、电价规则入库和测试体系都已有可运行实现。下一阶段不应再扩大页面堆叠，而应围绕事实源统一、工具链可追溯、模型生命周期、权限审计和企业部署补齐工程化闭环。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color w:val="0B2545"/>
                <w:sz w:val="22"/>
              </w:rPr>
              <w:t>优先级建议</w:t>
            </w:r>
          </w:p>
          <w:p>
            <w:pPr>
              <w:spacing w:after="80"/>
            </w:pPr>
            <w:r>
              <w:rPr>
                <w:rFonts w:ascii="Calibri" w:hAnsi="Calibri" w:eastAsia="Microsoft YaHei"/>
                <w:sz w:val="20"/>
              </w:rPr>
              <w:t>建议后续开发顺序为：1）继续完成前端页面真实接口替换；2）把数据库确认为预测、模型、任务、报告和 AI Trace 的主事实源；3）增强 AI 助手工具链和 RAG；4）补齐权限、审计、部署和监控；5）逐步拆解历史预测大脚本，形成长期可维护的模型服务。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B7280"/>
        <w:sz w:val="18"/>
      </w:rPr>
      <w:t>生成时间：2026-05-31 21:55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 w:val="0"/>
        <w:color w:val="6B7280"/>
        <w:sz w:val="18"/>
      </w:rPr>
      <w:t>智能运营分析项目全面分析说明文档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