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4354C" w14:textId="77777777" w:rsidR="006A6324" w:rsidRPr="006A6324" w:rsidRDefault="006A6324" w:rsidP="006A6324">
      <w:pPr>
        <w:widowControl/>
        <w:shd w:val="clear" w:color="auto" w:fill="FFFFFF"/>
        <w:spacing w:before="300" w:after="300" w:line="720" w:lineRule="atLeast"/>
        <w:jc w:val="center"/>
        <w:outlineLvl w:val="0"/>
        <w:rPr>
          <w:rFonts w:ascii="微软雅黑" w:eastAsia="微软雅黑" w:hAnsi="微软雅黑" w:cs="宋体"/>
          <w:b/>
          <w:bCs/>
          <w:color w:val="2C66A5"/>
          <w:kern w:val="36"/>
          <w:sz w:val="48"/>
          <w:szCs w:val="48"/>
          <w14:ligatures w14:val="none"/>
        </w:rPr>
      </w:pPr>
      <w:r w:rsidRPr="006A6324">
        <w:rPr>
          <w:rFonts w:ascii="微软雅黑" w:eastAsia="微软雅黑" w:hAnsi="微软雅黑" w:cs="宋体"/>
          <w:b/>
          <w:bCs/>
          <w:color w:val="2C66A5"/>
          <w:kern w:val="36"/>
          <w:sz w:val="48"/>
          <w:szCs w:val="48"/>
          <w14:ligatures w14:val="none"/>
        </w:rPr>
        <w:t>河北省发展和改革委员会关于优化调整</w:t>
      </w:r>
      <w:proofErr w:type="gramStart"/>
      <w:r w:rsidRPr="006A6324">
        <w:rPr>
          <w:rFonts w:ascii="微软雅黑" w:eastAsia="微软雅黑" w:hAnsi="微软雅黑" w:cs="宋体"/>
          <w:b/>
          <w:bCs/>
          <w:color w:val="2C66A5"/>
          <w:kern w:val="36"/>
          <w:sz w:val="48"/>
          <w:szCs w:val="48"/>
          <w14:ligatures w14:val="none"/>
        </w:rPr>
        <w:t>河北南网工商业</w:t>
      </w:r>
      <w:proofErr w:type="gramEnd"/>
      <w:r w:rsidRPr="006A6324">
        <w:rPr>
          <w:rFonts w:ascii="微软雅黑" w:eastAsia="微软雅黑" w:hAnsi="微软雅黑" w:cs="宋体"/>
          <w:b/>
          <w:bCs/>
          <w:color w:val="2C66A5"/>
          <w:kern w:val="36"/>
          <w:sz w:val="48"/>
          <w:szCs w:val="48"/>
          <w14:ligatures w14:val="none"/>
        </w:rPr>
        <w:t>及其他用户分时电价政策的通知</w:t>
      </w:r>
    </w:p>
    <w:tbl>
      <w:tblPr>
        <w:tblW w:w="1076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5"/>
        <w:gridCol w:w="8829"/>
      </w:tblGrid>
      <w:tr w:rsidR="006A6324" w:rsidRPr="006A6324" w14:paraId="57347E71" w14:textId="77777777"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D8EB6" w14:textId="77777777" w:rsidR="006A6324" w:rsidRPr="006A6324" w:rsidRDefault="006A6324" w:rsidP="006A632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</w:pPr>
            <w:r w:rsidRPr="006A6324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文件名称：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D89762" w14:textId="77777777" w:rsidR="006A6324" w:rsidRPr="006A6324" w:rsidRDefault="006A6324" w:rsidP="006A6324">
            <w:pPr>
              <w:widowControl/>
              <w:spacing w:line="360" w:lineRule="atLeast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</w:pPr>
            <w:r w:rsidRPr="006A6324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  <w:t>河北省发展和改革委员会关于优化调整</w:t>
            </w:r>
            <w:proofErr w:type="gramStart"/>
            <w:r w:rsidRPr="006A6324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  <w:t>河北南网工商业</w:t>
            </w:r>
            <w:proofErr w:type="gramEnd"/>
            <w:r w:rsidRPr="006A6324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  <w:t>及其他用户分时电价政策的通知</w:t>
            </w:r>
          </w:p>
        </w:tc>
      </w:tr>
      <w:tr w:rsidR="006A6324" w:rsidRPr="006A6324" w14:paraId="62CC03F2" w14:textId="77777777"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3E38800" w14:textId="77777777" w:rsidR="006A6324" w:rsidRPr="006A6324" w:rsidRDefault="006A6324" w:rsidP="006A632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</w:pPr>
            <w:r w:rsidRPr="006A6324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索 引 号：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E51E67" w14:textId="77777777" w:rsidR="006A6324" w:rsidRPr="006A6324" w:rsidRDefault="006A6324" w:rsidP="006A6324">
            <w:pPr>
              <w:widowControl/>
              <w:spacing w:line="360" w:lineRule="atLeast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</w:pPr>
            <w:r w:rsidRPr="006A6324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  <w:t>000014348/2025-00140</w:t>
            </w:r>
          </w:p>
        </w:tc>
      </w:tr>
      <w:tr w:rsidR="006A6324" w:rsidRPr="006A6324" w14:paraId="622EA2B0" w14:textId="77777777"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05366" w14:textId="77777777" w:rsidR="006A6324" w:rsidRPr="006A6324" w:rsidRDefault="006A6324" w:rsidP="006A632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</w:pPr>
            <w:r w:rsidRPr="006A6324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文 号：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4C4CE4" w14:textId="77777777" w:rsidR="006A6324" w:rsidRPr="006A6324" w:rsidRDefault="006A6324" w:rsidP="006A6324">
            <w:pPr>
              <w:widowControl/>
              <w:spacing w:line="360" w:lineRule="atLeast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</w:pPr>
            <w:proofErr w:type="gramStart"/>
            <w:r w:rsidRPr="006A6324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  <w:t>冀发改能</w:t>
            </w:r>
            <w:proofErr w:type="gramEnd"/>
            <w:r w:rsidRPr="006A6324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  <w:t>价[2025]1115号</w:t>
            </w:r>
          </w:p>
        </w:tc>
      </w:tr>
      <w:tr w:rsidR="006A6324" w:rsidRPr="006A6324" w14:paraId="78996C69" w14:textId="77777777">
        <w:tc>
          <w:tcPr>
            <w:tcW w:w="19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1F1F1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242E4D" w14:textId="77777777" w:rsidR="006A6324" w:rsidRPr="006A6324" w:rsidRDefault="006A6324" w:rsidP="006A6324">
            <w:pPr>
              <w:widowControl/>
              <w:jc w:val="center"/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</w:pPr>
            <w:r w:rsidRPr="006A6324">
              <w:rPr>
                <w:rFonts w:ascii="微软雅黑" w:eastAsia="微软雅黑" w:hAnsi="微软雅黑" w:cs="宋体"/>
                <w:b/>
                <w:bCs/>
                <w:color w:val="333333"/>
                <w:kern w:val="0"/>
                <w:sz w:val="24"/>
                <w:szCs w:val="24"/>
                <w14:ligatures w14:val="none"/>
              </w:rPr>
              <w:t>发布日期：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111D2F" w14:textId="77777777" w:rsidR="006A6324" w:rsidRPr="006A6324" w:rsidRDefault="006A6324" w:rsidP="006A6324">
            <w:pPr>
              <w:widowControl/>
              <w:spacing w:line="360" w:lineRule="atLeast"/>
              <w:jc w:val="left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</w:pPr>
            <w:r w:rsidRPr="006A6324"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  <w14:ligatures w14:val="none"/>
              </w:rPr>
              <w:t>2025-10-14</w:t>
            </w:r>
          </w:p>
        </w:tc>
      </w:tr>
    </w:tbl>
    <w:p w14:paraId="30E0FE44" w14:textId="77777777" w:rsidR="006A6324" w:rsidRPr="006A6324" w:rsidRDefault="006A6324" w:rsidP="006A6324">
      <w:pPr>
        <w:widowControl/>
        <w:shd w:val="clear" w:color="auto" w:fill="FFFFFF"/>
        <w:spacing w:line="480" w:lineRule="auto"/>
        <w:textAlignment w:val="center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石家庄、保定、沧州、衡水、邢台、邯郸市发展改革委，辛集市、定州市发展改革局，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雄安新区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改革发展局，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国网河北省电力有限公司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，河北电力交易中心有限公司，各增量配电网公司，有关电力用户：</w:t>
      </w:r>
    </w:p>
    <w:p w14:paraId="428755F0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为充分发挥峰谷分时电价政策引导作用，鼓励用户削峰填谷，促进新能源消纳和新型电力系统建设，保障电力安全稳定供应，优化电力营商环境，根据《国家发展改革委关于进一步完善分时电价机制的通知》（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发改价格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〔2021〕1093号）精神，结合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河北南网实际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，现就优化调整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河北南网工商业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及其他用户分时电价政策有关事项通知如下。</w:t>
      </w:r>
    </w:p>
    <w:p w14:paraId="5CF8ACDB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一、实施范围</w:t>
      </w:r>
    </w:p>
    <w:p w14:paraId="4B0C3123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河北南网供电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营业区域内的各类代理购电工商业用户均执行峰谷分时电价政策。对于行政机关、医院等用户（详见附件），可自愿选择执行峰谷分时电</w:t>
      </w: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lastRenderedPageBreak/>
        <w:t>价。执行峰谷分时电价的用户需执行尖峰、高峰、平段、低谷、深谷电价。不满1千伏的工商业用户不执行尖峰、深谷电价。</w:t>
      </w:r>
    </w:p>
    <w:p w14:paraId="2DC5F4EA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二、时段划分</w:t>
      </w:r>
    </w:p>
    <w:p w14:paraId="1E518FC0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（一）春季（3、4、5月）</w:t>
      </w:r>
    </w:p>
    <w:p w14:paraId="3A046AF4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深谷：12—15时；低谷：3—7时、11—12时；平段：0—3时、7—11时、15—16时；高峰：16—24时。</w:t>
      </w:r>
    </w:p>
    <w:p w14:paraId="5687E0F1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（二）夏季（6、7、8月）</w:t>
      </w:r>
    </w:p>
    <w:p w14:paraId="35CD5046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低谷：1—7时、12—14时；平段：0—1时、7—12时、14—16时；高峰：16—19时、22—24时；尖峰：19—22时。</w:t>
      </w:r>
    </w:p>
    <w:p w14:paraId="208D554A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（三）秋季（9、10、11月）</w:t>
      </w:r>
    </w:p>
    <w:p w14:paraId="690DB2C6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深谷：12—14时；低谷：2—6时、11—12时、14—15时；平段：0—2时、6—11时、15—16时；高峰：16—24时。</w:t>
      </w:r>
    </w:p>
    <w:p w14:paraId="4D904D4A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（四）冬季（12、1、2月）</w:t>
      </w:r>
    </w:p>
    <w:p w14:paraId="33F1F749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低谷：2—6时、11—15时；平段：0—2时、6—7时、9—11时、15—17时、23—24时；高峰：7—9时、19—23时；尖峰：17—19时。</w:t>
      </w:r>
    </w:p>
    <w:p w14:paraId="64A87878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三、浮动比例</w:t>
      </w:r>
    </w:p>
    <w:p w14:paraId="2E228257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（一）平段电价为代理购电当月平均购电价格，高峰和低谷电价在平段电价基础上分别上下浮动70%，尖峰电价在高峰电价基础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上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上浮20%，深谷电价在低谷电价基础上下浮20%。</w:t>
      </w:r>
    </w:p>
    <w:p w14:paraId="7CEF08E9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（二）上网环节线损费用、输配电价、系统运行费、政府性基金及附加、历史偏差电费折价不参与峰谷分时电价浮动。</w:t>
      </w:r>
    </w:p>
    <w:p w14:paraId="7935D385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四、有关要求</w:t>
      </w:r>
    </w:p>
    <w:p w14:paraId="21007F58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lastRenderedPageBreak/>
        <w:t xml:space="preserve">　　（一）电网企业要对分时电价收入情况单独归集、单独反映，对代理购电工商业用户月度执行分时电价产生的峰谷损益，纳入历史偏差电费，通过代理购电机制按月向代理购电工商业用户分摊或分享。</w:t>
      </w:r>
    </w:p>
    <w:p w14:paraId="2B220758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（二）直接参与市场化交易的用户，2025年度峰谷时段划分保持不变，2026年起按照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河北南网年度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电力交易工作方案执行。</w:t>
      </w:r>
    </w:p>
    <w:p w14:paraId="53809388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（三）各级发展改革部门和电网企业要加大政策宣传力度，做好政策解读，及时回应社会关切。鼓励工商业用户通过改进生产方式或配置储能设施，进一步削峰填谷、降本增效。</w:t>
      </w:r>
    </w:p>
    <w:p w14:paraId="06A8BD13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本通知自2025年11月1日起执行。现行政策与本通知不符的，以本通知规定为准。</w:t>
      </w:r>
    </w:p>
    <w:p w14:paraId="126A2E43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附件：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河北南网可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选择执行峰谷分时电价的用户范围</w:t>
      </w:r>
    </w:p>
    <w:p w14:paraId="0E7D8833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righ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河北省发展和改革委员会</w:t>
      </w:r>
    </w:p>
    <w:p w14:paraId="00DEC76D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righ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2025年10月14日</w:t>
      </w:r>
    </w:p>
    <w:p w14:paraId="7D954B3A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</w:t>
      </w:r>
    </w:p>
    <w:p w14:paraId="6373FDD5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b/>
          <w:bCs/>
          <w:color w:val="555555"/>
          <w:kern w:val="0"/>
          <w:sz w:val="24"/>
          <w:szCs w:val="24"/>
          <w14:ligatures w14:val="none"/>
        </w:rPr>
        <w:t>附件</w:t>
      </w:r>
    </w:p>
    <w:p w14:paraId="73DDD33B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b/>
          <w:bCs/>
          <w:color w:val="555555"/>
          <w:kern w:val="0"/>
          <w:sz w:val="24"/>
          <w:szCs w:val="24"/>
          <w14:ligatures w14:val="none"/>
        </w:rPr>
        <w:br/>
      </w:r>
    </w:p>
    <w:p w14:paraId="1FFD6C22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center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</w:t>
      </w:r>
      <w:proofErr w:type="gramStart"/>
      <w:r w:rsidRPr="006A6324">
        <w:rPr>
          <w:rFonts w:ascii="宋体" w:eastAsia="宋体" w:hAnsi="宋体" w:cs="宋体"/>
          <w:b/>
          <w:bCs/>
          <w:color w:val="555555"/>
          <w:kern w:val="0"/>
          <w:sz w:val="24"/>
          <w:szCs w:val="24"/>
          <w14:ligatures w14:val="none"/>
        </w:rPr>
        <w:t>河北南网可</w:t>
      </w:r>
      <w:proofErr w:type="gramEnd"/>
      <w:r w:rsidRPr="006A6324">
        <w:rPr>
          <w:rFonts w:ascii="宋体" w:eastAsia="宋体" w:hAnsi="宋体" w:cs="宋体"/>
          <w:b/>
          <w:bCs/>
          <w:color w:val="555555"/>
          <w:kern w:val="0"/>
          <w:sz w:val="24"/>
          <w:szCs w:val="24"/>
          <w14:ligatures w14:val="none"/>
        </w:rPr>
        <w:t>选择执行峰谷分时电价的用户范围</w:t>
      </w:r>
    </w:p>
    <w:p w14:paraId="582A04D4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center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b/>
          <w:bCs/>
          <w:color w:val="555555"/>
          <w:kern w:val="0"/>
          <w:sz w:val="24"/>
          <w:szCs w:val="24"/>
          <w14:ligatures w14:val="none"/>
        </w:rPr>
        <w:br/>
      </w:r>
    </w:p>
    <w:p w14:paraId="5F0826DC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一、铁路（含电气化铁路、城市轨道交通）、行政机关、学校（不含校办工商业企业、不含执行居民电价的用电）、部队（含武警、消防、应急指挥，</w:t>
      </w: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lastRenderedPageBreak/>
        <w:t>不含执行居民电价的用电）、监狱（含劳教所、看守所，不含生产经营企业，不含执行居民电价的用电）、医院、城乡供水（供热、供气）、增量配电网、发电企业的购电、城乡路灯用电。</w:t>
      </w:r>
    </w:p>
    <w:p w14:paraId="56C7AAB3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二、广播电视站无线发射台（站）、转播台（站）、差转台（站）、监测台（站）。</w:t>
      </w:r>
    </w:p>
    <w:p w14:paraId="44EC7AA1" w14:textId="77777777" w:rsidR="006A6324" w:rsidRPr="006A6324" w:rsidRDefault="006A6324" w:rsidP="006A6324">
      <w:pPr>
        <w:widowControl/>
        <w:shd w:val="clear" w:color="auto" w:fill="FFFFFF"/>
        <w:spacing w:line="480" w:lineRule="auto"/>
        <w:jc w:val="left"/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</w:pPr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 xml:space="preserve">　　三、商场（含商业综合体）、小区</w:t>
      </w:r>
      <w:proofErr w:type="gramStart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物业非</w:t>
      </w:r>
      <w:proofErr w:type="gramEnd"/>
      <w:r w:rsidRPr="006A6324">
        <w:rPr>
          <w:rFonts w:ascii="宋体" w:eastAsia="宋体" w:hAnsi="宋体" w:cs="宋体"/>
          <w:color w:val="555555"/>
          <w:kern w:val="0"/>
          <w:sz w:val="24"/>
          <w:szCs w:val="24"/>
          <w14:ligatures w14:val="none"/>
        </w:rPr>
        <w:t>电网直供电主体、超市、餐饮店（馆）和宾馆用户及农产品批发市场、农贸市场、农产品冷链物流的冷库用电。</w:t>
      </w:r>
    </w:p>
    <w:p w14:paraId="55D47F82" w14:textId="77777777" w:rsidR="00E6311B" w:rsidRPr="006A6324" w:rsidRDefault="00E6311B">
      <w:pPr>
        <w:rPr>
          <w:rFonts w:hint="eastAsia"/>
        </w:rPr>
      </w:pPr>
    </w:p>
    <w:sectPr w:rsidR="00E6311B" w:rsidRPr="006A63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82"/>
    <w:rsid w:val="00076A9C"/>
    <w:rsid w:val="000C76C5"/>
    <w:rsid w:val="00171C29"/>
    <w:rsid w:val="00231410"/>
    <w:rsid w:val="002B4882"/>
    <w:rsid w:val="005D7177"/>
    <w:rsid w:val="006A6324"/>
    <w:rsid w:val="00975035"/>
    <w:rsid w:val="009D7F4B"/>
    <w:rsid w:val="00E6311B"/>
    <w:rsid w:val="00F2353F"/>
    <w:rsid w:val="00F4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CB353-CF14-4EB8-BCEE-FC66C73EA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48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8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8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8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88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8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8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8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76A9C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11">
    <w:name w:val="样式1"/>
    <w:basedOn w:val="a1"/>
    <w:uiPriority w:val="99"/>
    <w:rsid w:val="00E6311B"/>
    <w:rPr>
      <w:szCs w:val="24"/>
      <w14:ligatures w14:val="none"/>
    </w:rPr>
    <w:tblPr>
      <w:tblBorders>
        <w:top w:val="single" w:sz="8" w:space="0" w:color="auto"/>
        <w:bottom w:val="single" w:sz="8" w:space="0" w:color="auto"/>
      </w:tblBorders>
    </w:tblPr>
    <w:tblStylePr w:type="firstRow"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31">
    <w:name w:val="3线表"/>
    <w:basedOn w:val="a1"/>
    <w:uiPriority w:val="99"/>
    <w:rsid w:val="00F2353F"/>
    <w:rPr>
      <w:rFonts w:ascii="Times New Roman" w:eastAsiaTheme="majorEastAsia" w:hAnsi="Times New Roman" w:cs="Times New Roman"/>
      <w:kern w:val="0"/>
      <w:sz w:val="20"/>
      <w:szCs w:val="20"/>
      <w14:ligatures w14:val="none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B48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4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4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48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488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48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48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48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488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B48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B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B48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B48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B48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B488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B488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B4882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B4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B4882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2B48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yinggang wang</dc:creator>
  <cp:keywords/>
  <dc:description/>
  <cp:lastModifiedBy>yinggang wang</cp:lastModifiedBy>
  <cp:revision>2</cp:revision>
  <dcterms:created xsi:type="dcterms:W3CDTF">2026-06-06T09:51:00Z</dcterms:created>
  <dcterms:modified xsi:type="dcterms:W3CDTF">2026-06-06T09:51:00Z</dcterms:modified>
</cp:coreProperties>
</file>