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9" w:name="content"/>
    <w:bookmarkStart w:id="28" w:name="峰谷价差解释"/>
    <w:p>
      <w:pPr>
        <w:pStyle w:val="Heading1"/>
      </w:pPr>
      <w:r>
        <w:rPr>
          <w:rFonts w:hint="eastAsia"/>
        </w:rPr>
        <w:t xml:space="preserve">峰谷价差解释</w:t>
      </w:r>
    </w:p>
    <w:bookmarkStart w:id="21" w:name="适用问题"/>
    <w:p>
      <w:pPr>
        <w:pStyle w:val="Heading2"/>
      </w:pPr>
      <w:r>
        <w:rPr>
          <w:rFonts w:hint="eastAsia"/>
        </w:rPr>
        <w:t xml:space="preserve">适用问题</w:t>
      </w:r>
    </w:p>
    <w:p>
      <w:pPr>
        <w:pStyle w:val="FirstParagraph"/>
      </w:pPr>
      <w:r>
        <w:rPr>
          <w:rFonts w:hint="eastAsia"/>
        </w:rPr>
        <w:t xml:space="preserve">用于回答关于高峰与低谷（峰谷）电价差异的问题，如“什么是峰谷价差？”、“如何利用峰谷电价策略？”等。</w:t>
      </w:r>
    </w:p>
    <w:bookmarkEnd w:id="21"/>
    <w:bookmarkStart w:id="23" w:name="核心解释"/>
    <w:p>
      <w:pPr>
        <w:pStyle w:val="Heading2"/>
      </w:pPr>
      <w:r>
        <w:rPr>
          <w:rFonts w:hint="eastAsia"/>
        </w:rPr>
        <w:t xml:space="preserve">核心解释</w:t>
      </w:r>
    </w:p>
    <w:p>
      <w:pPr>
        <w:pStyle w:val="FirstParagraph"/>
      </w:pPr>
      <w:r>
        <w:rPr>
          <w:rFonts w:hint="eastAsia"/>
        </w:rPr>
        <w:t xml:space="preserve">峰谷价差是指在时间分段电价（Time-of-Use，TOU）或分时电价机制下，高峰时段与低谷时段电价之差。TOU</w:t>
      </w:r>
      <w:r>
        <w:t xml:space="preserve"> </w:t>
      </w:r>
      <w:r>
        <w:rPr>
          <w:rFonts w:hint="eastAsia"/>
        </w:rPr>
        <w:t xml:space="preserve">计划通常将一天划分为多个时段：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高峰时段</w:t>
      </w:r>
      <w:r>
        <w:rPr>
          <w:rFonts w:hint="eastAsia"/>
        </w:rPr>
        <w:t xml:space="preserve">：工作日白天</w:t>
      </w:r>
      <w:r>
        <w:t xml:space="preserve"> </w:t>
      </w:r>
      <w:r>
        <w:rPr>
          <w:rFonts w:hint="eastAsia"/>
        </w:rPr>
        <w:t xml:space="preserve">7:00–23:00，负荷高，电价较高；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低谷时段</w:t>
      </w:r>
      <w:r>
        <w:rPr>
          <w:rFonts w:hint="eastAsia"/>
        </w:rPr>
        <w:t xml:space="preserve">：夜间</w:t>
      </w:r>
      <w:r>
        <w:t xml:space="preserve"> 23:00–7:00 </w:t>
      </w:r>
      <w:r>
        <w:rPr>
          <w:rFonts w:hint="eastAsia"/>
        </w:rPr>
        <w:t xml:space="preserve">及周末、节假日全天，负荷低，电价较低</w:t>
      </w:r>
      <w:hyperlink r:id="rId22">
        <w:r>
          <w:rPr>
            <w:rStyle w:val="Hyperlink"/>
          </w:rPr>
          <w:t xml:space="preserve">[1]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峰谷价差促使用户在低价时段用电，减轻高峰压力。对于售电公司，峰谷价差可以作为交易策略依据：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低谷购电高峰卖电</w:t>
      </w:r>
      <w:r>
        <w:rPr>
          <w:rFonts w:hint="eastAsia"/>
        </w:rPr>
        <w:t xml:space="preserve">：在低谷时段锁定低价，等待高峰出售，以赚取差价。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负荷移位</w:t>
      </w:r>
      <w:r>
        <w:rPr>
          <w:rFonts w:hint="eastAsia"/>
        </w:rPr>
        <w:t xml:space="preserve">：鼓励客户将用电活动移至低谷，降低需求峰值，提高系统可靠性。</w:t>
      </w:r>
    </w:p>
    <w:bookmarkEnd w:id="23"/>
    <w:bookmarkStart w:id="24" w:name="判断依据"/>
    <w:p>
      <w:pPr>
        <w:pStyle w:val="Heading2"/>
      </w:pPr>
      <w:r>
        <w:rPr>
          <w:rFonts w:hint="eastAsia"/>
        </w:rPr>
        <w:t xml:space="preserve">判断依据</w:t>
      </w:r>
    </w:p>
    <w:p>
      <w:pPr>
        <w:pStyle w:val="FirstParagraph"/>
      </w:pPr>
      <w:r>
        <w:rPr>
          <w:rFonts w:hint="eastAsia"/>
        </w:rPr>
        <w:t xml:space="preserve">美国部分州的电力供应商推行</w:t>
      </w:r>
      <w:r>
        <w:t xml:space="preserve"> TOU </w:t>
      </w:r>
      <w:r>
        <w:rPr>
          <w:rFonts w:hint="eastAsia"/>
        </w:rPr>
        <w:t xml:space="preserve">计费，如</w:t>
      </w:r>
      <w:r>
        <w:t xml:space="preserve"> Constellation </w:t>
      </w:r>
      <w:r>
        <w:rPr>
          <w:rFonts w:hint="eastAsia"/>
        </w:rPr>
        <w:t xml:space="preserve">介绍了</w:t>
      </w:r>
      <w:r>
        <w:t xml:space="preserve"> TOU </w:t>
      </w:r>
      <w:r>
        <w:rPr>
          <w:rFonts w:hint="eastAsia"/>
        </w:rPr>
        <w:t xml:space="preserve">的基本结构：高峰时段电价高，低谷时段电价低</w:t>
      </w:r>
      <w:hyperlink r:id="rId22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。这种机制通过价格信号平衡负荷、降低尖峰风险。</w:t>
      </w:r>
    </w:p>
    <w:bookmarkEnd w:id="24"/>
    <w:bookmarkStart w:id="25" w:name="常见误区"/>
    <w:p>
      <w:pPr>
        <w:pStyle w:val="Heading2"/>
      </w:pPr>
      <w:r>
        <w:rPr>
          <w:rFonts w:hint="eastAsia"/>
        </w:rPr>
        <w:t xml:space="preserve">常见误区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峰谷价差固定不变</w:t>
      </w:r>
      <w:r>
        <w:rPr>
          <w:rFonts w:hint="eastAsia"/>
        </w:rPr>
        <w:t xml:space="preserve">：实际峰谷价差会随季节、需求和供应情况调整。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低谷用电无限便宜</w:t>
      </w:r>
      <w:r>
        <w:rPr>
          <w:rFonts w:hint="eastAsia"/>
        </w:rPr>
        <w:t xml:space="preserve">：低谷电价虽低，但仍有基本成本，过度用电不划算。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所有用户都适用</w:t>
      </w:r>
      <w:r>
        <w:rPr>
          <w:b/>
          <w:bCs/>
        </w:rPr>
        <w:t xml:space="preserve"> TOU</w:t>
      </w:r>
      <w:r>
        <w:rPr>
          <w:rFonts w:hint="eastAsia"/>
        </w:rPr>
        <w:t xml:space="preserve">：部分用户不方便在夜间用电，需综合考虑实际情况。</w:t>
      </w:r>
    </w:p>
    <w:bookmarkEnd w:id="25"/>
    <w:bookmarkStart w:id="26" w:name="回答示例"/>
    <w:p>
      <w:pPr>
        <w:pStyle w:val="Heading2"/>
      </w:pPr>
      <w:r>
        <w:rPr>
          <w:rFonts w:hint="eastAsia"/>
        </w:rPr>
        <w:t xml:space="preserve">回答示例</w:t>
      </w:r>
    </w:p>
    <w:p>
      <w:pPr>
        <w:pStyle w:val="FirstParagraph"/>
      </w:pPr>
      <w:r>
        <w:rPr>
          <w:rFonts w:hint="eastAsia"/>
        </w:rPr>
        <w:t xml:space="preserve">当用户问“峰谷价差对预测有什么影响？”时，可回答：</w:t>
      </w:r>
    </w:p>
    <w:p>
      <w:pPr>
        <w:pStyle w:val="BlockText"/>
      </w:pPr>
      <w:r>
        <w:rPr>
          <w:rFonts w:hint="eastAsia"/>
        </w:rPr>
        <w:t xml:space="preserve">峰谷价差反映电价在不同时段的波动，预测模型需要考虑时间维度的不同费率。高峰时段价格较高，模型重点关注负荷和尖峰风险；低谷时段波动较小，可作为基准。</w:t>
      </w:r>
    </w:p>
    <w:bookmarkEnd w:id="26"/>
    <w:bookmarkStart w:id="27" w:name="关键词标签"/>
    <w:p>
      <w:pPr>
        <w:pStyle w:val="Heading2"/>
      </w:pPr>
      <w:r>
        <w:rPr>
          <w:rFonts w:hint="eastAsia"/>
        </w:rPr>
        <w:t xml:space="preserve">关键词标签</w:t>
      </w:r>
    </w:p>
    <w:p>
      <w:pPr>
        <w:pStyle w:val="FirstParagraph"/>
      </w:pPr>
      <w:r>
        <w:rPr>
          <w:rFonts w:hint="eastAsia"/>
        </w:rPr>
        <w:t xml:space="preserve">峰谷价差；分时电价；TOU；高峰时段；低谷时段；交易策略</w:t>
      </w:r>
    </w:p>
    <w:bookmarkEnd w:id="27"/>
    <w:bookmarkEnd w:id="28"/>
    <w:bookmarkEnd w:id="29"/>
    <w:p>
      <w:r>
        <w:pict>
          <v:rect style="width:0;height:1.5pt" o:hralign="center" o:hrstd="t" o:hr="t"/>
        </w:pict>
      </w:r>
    </w:p>
    <w:bookmarkStart w:id="31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What are Time-of-Use (TOU) Electricity Rates? | Constellation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https://www.constellation.com/energy-101/energy-education/time-of-use-plans.html</w:t>
        </w:r>
      </w:hyperlink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www.constellation.com/energy-101/energy-education/time-of-use-plans.html" TargetMode="External" /><Relationship Type="http://schemas.openxmlformats.org/officeDocument/2006/relationships/hyperlink" Id="rId22" Target="https://www.constellation.com/energy-101/energy-education/time-of-use-plans.html#:~:text=With%20a%20TOU%20rate%20plan%2C,use%20pla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www.constellation.com/energy-101/energy-education/time-of-use-plans.html" TargetMode="External" /><Relationship Type="http://schemas.openxmlformats.org/officeDocument/2006/relationships/hyperlink" Id="rId22" Target="https://www.constellation.com/energy-101/energy-education/time-of-use-plans.html#:~:text=With%20a%20TOU%20rate%20plan%2C,use%20pla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2026-06-06T08:00:57Z</dcterms:created>
  <dcterms:modified xsi:type="dcterms:W3CDTF">2026-06-06T08:00:57Z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