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2" w:name="content"/>
    <w:bookmarkStart w:id="31" w:name="交易策略说明"/>
    <w:p>
      <w:pPr>
        <w:pStyle w:val="Heading1"/>
      </w:pPr>
      <w:r>
        <w:rPr>
          <w:rFonts w:hint="eastAsia"/>
        </w:rPr>
        <w:t xml:space="preserve">交易策略说明</w:t>
      </w:r>
    </w:p>
    <w:bookmarkStart w:id="21" w:name="适用问题"/>
    <w:p>
      <w:pPr>
        <w:pStyle w:val="Heading2"/>
      </w:pPr>
      <w:r>
        <w:rPr>
          <w:rFonts w:hint="eastAsia"/>
        </w:rPr>
        <w:t xml:space="preserve">适用问题</w:t>
      </w:r>
    </w:p>
    <w:p>
      <w:pPr>
        <w:pStyle w:val="FirstParagraph"/>
      </w:pPr>
      <w:r>
        <w:rPr>
          <w:rFonts w:hint="eastAsia"/>
        </w:rPr>
        <w:t xml:space="preserve">用于解答关于电价预测如何指导交易策略的提问，如“如何利用预测数据进行买卖？”、“什么是虚拟交易？”等。</w:t>
      </w:r>
    </w:p>
    <w:bookmarkEnd w:id="21"/>
    <w:bookmarkStart w:id="26" w:name="核心解释"/>
    <w:p>
      <w:pPr>
        <w:pStyle w:val="Heading2"/>
      </w:pPr>
      <w:r>
        <w:rPr>
          <w:rFonts w:hint="eastAsia"/>
        </w:rPr>
        <w:t xml:space="preserve">核心解释</w:t>
      </w:r>
    </w:p>
    <w:p>
      <w:pPr>
        <w:pStyle w:val="FirstParagraph"/>
      </w:pPr>
      <w:r>
        <w:rPr>
          <w:rFonts w:hint="eastAsia"/>
        </w:rPr>
        <w:t xml:space="preserve">电力市场交易主要分为日前市场和实时市场。</w:t>
      </w:r>
    </w:p>
    <w:bookmarkStart w:id="23" w:name="日前交易策略"/>
    <w:p>
      <w:pPr>
        <w:pStyle w:val="Heading3"/>
      </w:pPr>
      <w:r>
        <w:rPr>
          <w:rFonts w:hint="eastAsia"/>
        </w:rPr>
        <w:t xml:space="preserve">日前交易策略</w:t>
      </w:r>
    </w:p>
    <w:p>
      <w:pPr>
        <w:pStyle w:val="FirstParagraph"/>
      </w:pPr>
      <w:r>
        <w:rPr>
          <w:rFonts w:hint="eastAsia"/>
        </w:rPr>
        <w:t xml:space="preserve">日前市场在交割日前一天交易电量，供需双方通过竞价达成价格</w:t>
      </w:r>
      <w:hyperlink r:id="rId22">
        <w:r>
          <w:rPr>
            <w:rStyle w:val="Hyperlink"/>
          </w:rPr>
          <w:t xml:space="preserve">[1]</w:t>
        </w:r>
      </w:hyperlink>
      <w:r>
        <w:rPr>
          <w:rFonts w:hint="eastAsia"/>
        </w:rPr>
        <w:t xml:space="preserve">。交易者可以利用电价预测和负荷预测调整售电计划：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锁定低价时段购电，高价时段售电</w:t>
      </w:r>
      <w:r>
        <w:rPr>
          <w:rFonts w:hint="eastAsia"/>
        </w:rPr>
        <w:t xml:space="preserve">：根据峰谷价差，预先在低谷时段购入电量，待高峰期出售。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结合高峰概率调仓</w:t>
      </w:r>
      <w:r>
        <w:rPr>
          <w:rFonts w:hint="eastAsia"/>
        </w:rPr>
        <w:t xml:space="preserve">：在高峰概率较大时提前买入或减少卖出，降低风险。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关注尖峰风险</w:t>
      </w:r>
      <w:r>
        <w:rPr>
          <w:rFonts w:hint="eastAsia"/>
        </w:rPr>
        <w:t xml:space="preserve">：若尖峰概率高，避开过度卖空；结合实际供应情况决定持仓。</w:t>
      </w:r>
    </w:p>
    <w:bookmarkEnd w:id="23"/>
    <w:bookmarkStart w:id="25" w:name="实时或虚拟交易策略"/>
    <w:p>
      <w:pPr>
        <w:pStyle w:val="Heading3"/>
      </w:pPr>
      <w:r>
        <w:rPr>
          <w:rFonts w:hint="eastAsia"/>
        </w:rPr>
        <w:t xml:space="preserve">实时或虚拟交易策略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w:r>
        <w:rPr>
          <w:rFonts w:hint="eastAsia"/>
        </w:rPr>
        <w:t xml:space="preserve">PJM，参与者可以进行虚拟交易，即在日前市场买入（或卖出）电量，并在实时市场反向操作：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Increment Offers</w:t>
      </w:r>
      <w:r>
        <w:rPr>
          <w:rFonts w:hint="eastAsia"/>
        </w:rPr>
        <w:t xml:space="preserve">：在实时市场买电，在日前市场卖电，期待实时价格高于日前</w:t>
      </w:r>
      <w:hyperlink r:id="rId24">
        <w:r>
          <w:rPr>
            <w:rStyle w:val="Hyperlink"/>
          </w:rPr>
          <w:t xml:space="preserve">[2]</w:t>
        </w:r>
      </w:hyperlink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Decrement Bids</w:t>
      </w:r>
      <w:r>
        <w:rPr>
          <w:rFonts w:hint="eastAsia"/>
        </w:rPr>
        <w:t xml:space="preserve">：在实时市场卖电，在日前市场买电，期待实时价格低于日前</w:t>
      </w:r>
      <w:hyperlink r:id="rId24">
        <w:r>
          <w:rPr>
            <w:rStyle w:val="Hyperlink"/>
          </w:rPr>
          <w:t xml:space="preserve">[2]</w:t>
        </w:r>
      </w:hyperlink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此类策略本质是利用两市价差套利。</w:t>
      </w:r>
    </w:p>
    <w:bookmarkEnd w:id="25"/>
    <w:bookmarkEnd w:id="26"/>
    <w:bookmarkStart w:id="27" w:name="判断依据"/>
    <w:p>
      <w:pPr>
        <w:pStyle w:val="Heading2"/>
      </w:pPr>
      <w:r>
        <w:rPr>
          <w:rFonts w:hint="eastAsia"/>
        </w:rPr>
        <w:t xml:space="preserve">判断依据</w:t>
      </w:r>
    </w:p>
    <w:p>
      <w:pPr>
        <w:pStyle w:val="FirstParagraph"/>
      </w:pPr>
      <w:r>
        <w:rPr>
          <w:rFonts w:hint="eastAsia"/>
        </w:rPr>
        <w:t xml:space="preserve">交易策略基于日内价格波动和市场机制。Next</w:t>
      </w:r>
      <w:r>
        <w:t xml:space="preserve"> Kraftwerke </w:t>
      </w:r>
      <w:r>
        <w:rPr>
          <w:rFonts w:hint="eastAsia"/>
        </w:rPr>
        <w:t xml:space="preserve">介绍了日前交易的定义与目的</w:t>
      </w:r>
      <w:hyperlink r:id="rId22">
        <w:r>
          <w:rPr>
            <w:rStyle w:val="Hyperlink"/>
          </w:rPr>
          <w:t xml:space="preserve">[1]</w:t>
        </w:r>
      </w:hyperlink>
      <w:r>
        <w:rPr>
          <w:rFonts w:hint="eastAsia"/>
        </w:rPr>
        <w:t xml:space="preserve">；Yes</w:t>
      </w:r>
      <w:r>
        <w:t xml:space="preserve"> Energy </w:t>
      </w:r>
      <w:r>
        <w:rPr>
          <w:rFonts w:hint="eastAsia"/>
        </w:rPr>
        <w:t xml:space="preserve">解释了增量/减量虚拟交易的原理</w:t>
      </w:r>
      <w:hyperlink r:id="rId24">
        <w:r>
          <w:rPr>
            <w:rStyle w:val="Hyperlink"/>
          </w:rPr>
          <w:t xml:space="preserve">[2]</w:t>
        </w:r>
      </w:hyperlink>
      <w:r>
        <w:t xml:space="preserve">。</w:t>
      </w:r>
    </w:p>
    <w:bookmarkEnd w:id="27"/>
    <w:bookmarkStart w:id="28" w:name="常见误区"/>
    <w:p>
      <w:pPr>
        <w:pStyle w:val="Heading2"/>
      </w:pPr>
      <w:r>
        <w:rPr>
          <w:rFonts w:hint="eastAsia"/>
        </w:rPr>
        <w:t xml:space="preserve">常见误区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忽视风险</w:t>
      </w:r>
      <w:r>
        <w:rPr>
          <w:rFonts w:hint="eastAsia"/>
        </w:rPr>
        <w:t xml:space="preserve">：虚拟交易仅是金融产品，价格波动大，须注意保证金风险。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迷信模型预测</w:t>
      </w:r>
      <w:r>
        <w:rPr>
          <w:rFonts w:hint="eastAsia"/>
        </w:rPr>
        <w:t xml:space="preserve">：价格预测存在误差，应结合市场情绪、天气预报等信息综合判断。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误解增量/减量定义</w:t>
      </w:r>
      <w:r>
        <w:rPr>
          <w:rFonts w:hint="eastAsia"/>
        </w:rPr>
        <w:t xml:space="preserve">：增量</w:t>
      </w:r>
      <w:r>
        <w:t xml:space="preserve"> offer </w:t>
      </w:r>
      <w:r>
        <w:rPr>
          <w:rFonts w:hint="eastAsia"/>
        </w:rPr>
        <w:t xml:space="preserve">代表日前卖实时买，减量</w:t>
      </w:r>
      <w:r>
        <w:t xml:space="preserve"> bid </w:t>
      </w:r>
      <w:r>
        <w:rPr>
          <w:rFonts w:hint="eastAsia"/>
        </w:rPr>
        <w:t xml:space="preserve">则相反</w:t>
      </w:r>
      <w:hyperlink r:id="rId24">
        <w:r>
          <w:rPr>
            <w:rStyle w:val="Hyperlink"/>
          </w:rPr>
          <w:t xml:space="preserve">[2]</w:t>
        </w:r>
      </w:hyperlink>
      <w:r>
        <w:t xml:space="preserve">。</w:t>
      </w:r>
    </w:p>
    <w:bookmarkEnd w:id="28"/>
    <w:bookmarkStart w:id="29" w:name="回答示例"/>
    <w:p>
      <w:pPr>
        <w:pStyle w:val="Heading2"/>
      </w:pPr>
      <w:r>
        <w:rPr>
          <w:rFonts w:hint="eastAsia"/>
        </w:rPr>
        <w:t xml:space="preserve">回答示例</w:t>
      </w:r>
    </w:p>
    <w:p>
      <w:pPr>
        <w:pStyle w:val="FirstParagraph"/>
      </w:pPr>
      <w:r>
        <w:rPr>
          <w:rFonts w:hint="eastAsia"/>
        </w:rPr>
        <w:t xml:space="preserve">当用户问“预测结果怎么指导交易？”时，可回答：</w:t>
      </w:r>
    </w:p>
    <w:p>
      <w:pPr>
        <w:pStyle w:val="BlockText"/>
      </w:pPr>
      <w:r>
        <w:rPr>
          <w:rFonts w:hint="eastAsia"/>
        </w:rPr>
        <w:t xml:space="preserve">可以根据预测的高峰时段和尖峰风险调整买卖时段：低谷时段进货，高峰时段售电；高风险时段谨慎交易。此外还可通过虚拟交易利用日实时价差套利</w:t>
      </w:r>
      <w:hyperlink r:id="rId24">
        <w:r>
          <w:rPr>
            <w:rStyle w:val="Hyperlink"/>
          </w:rPr>
          <w:t xml:space="preserve">[2]</w:t>
        </w:r>
      </w:hyperlink>
      <w:r>
        <w:t xml:space="preserve">。</w:t>
      </w:r>
    </w:p>
    <w:bookmarkEnd w:id="29"/>
    <w:bookmarkStart w:id="30" w:name="关键词标签"/>
    <w:p>
      <w:pPr>
        <w:pStyle w:val="Heading2"/>
      </w:pPr>
      <w:r>
        <w:rPr>
          <w:rFonts w:hint="eastAsia"/>
        </w:rPr>
        <w:t xml:space="preserve">关键词标签</w:t>
      </w:r>
    </w:p>
    <w:p>
      <w:pPr>
        <w:pStyle w:val="FirstParagraph"/>
      </w:pPr>
      <w:r>
        <w:rPr>
          <w:rFonts w:hint="eastAsia"/>
        </w:rPr>
        <w:t xml:space="preserve">交易策略；日前市场；实时市场；虚拟交易；增量与减量；价差套利</w:t>
      </w:r>
    </w:p>
    <w:bookmarkEnd w:id="30"/>
    <w:bookmarkEnd w:id="31"/>
    <w:bookmarkEnd w:id="32"/>
    <w:p>
      <w:r>
        <w:pict>
          <v:rect style="width:0;height:1.5pt" o:hralign="center" o:hrstd="t" o:hr="t"/>
        </w:pict>
      </w:r>
    </w:p>
    <w:bookmarkStart w:id="35" w:name="citations"/>
    <w:p>
      <w:pPr>
        <w:pStyle w:val="FirstParagraph"/>
      </w:pPr>
      <w:hyperlink r:id="rId22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What is Day-Ahead Trading of Electricity?</w:t>
      </w:r>
    </w:p>
    <w:p>
      <w:pPr>
        <w:pStyle w:val="BodyText"/>
      </w:pPr>
      <w:hyperlink r:id="rId33">
        <w:r>
          <w:rPr>
            <w:rStyle w:val="Hyperlink"/>
          </w:rPr>
          <w:t xml:space="preserve">https://www.next-kraftwerke.com/knowledge/day-ahead-trading-electricity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How Power Trading Works (Day-ahead Virtual Trades)</w:t>
      </w:r>
    </w:p>
    <w:p>
      <w:pPr>
        <w:pStyle w:val="BodyText"/>
      </w:pPr>
      <w:hyperlink r:id="rId34">
        <w:r>
          <w:rPr>
            <w:rStyle w:val="Hyperlink"/>
          </w:rPr>
          <w:t xml:space="preserve">https://www.yesenergy.com/blog/how-power-trading-works</w:t>
        </w:r>
      </w:hyperlink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3" Target="https://www.next-kraftwerke.com/knowledge/day-ahead-trading-electricity" TargetMode="External" /><Relationship Type="http://schemas.openxmlformats.org/officeDocument/2006/relationships/hyperlink" Id="rId22" Target="https://www.next-kraftwerke.com/knowledge/day-ahead-trading-electricity#:~:text=What%20is%20Day,Electricity" TargetMode="External" /><Relationship Type="http://schemas.openxmlformats.org/officeDocument/2006/relationships/hyperlink" Id="rId34" Target="https://www.yesenergy.com/blog/how-power-trading-works" TargetMode="External" /><Relationship Type="http://schemas.openxmlformats.org/officeDocument/2006/relationships/hyperlink" Id="rId24" Target="https://www.yesenergy.com/blog/how-power-trading-works#:~:text=Participation%20in%20competitive%20power%20markets,term%20financial%20trad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www.next-kraftwerke.com/knowledge/day-ahead-trading-electricity" TargetMode="External" /><Relationship Type="http://schemas.openxmlformats.org/officeDocument/2006/relationships/hyperlink" Id="rId22" Target="https://www.next-kraftwerke.com/knowledge/day-ahead-trading-electricity#:~:text=What%20is%20Day,Electricity" TargetMode="External" /><Relationship Type="http://schemas.openxmlformats.org/officeDocument/2006/relationships/hyperlink" Id="rId34" Target="https://www.yesenergy.com/blog/how-power-trading-works" TargetMode="External" /><Relationship Type="http://schemas.openxmlformats.org/officeDocument/2006/relationships/hyperlink" Id="rId24" Target="https://www.yesenergy.com/blog/how-power-trading-works#:~:text=Participation%20in%20competitive%20power%20markets,term%20financial%20trad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2026-06-06T08:02:51Z</dcterms:created>
  <dcterms:modified xsi:type="dcterms:W3CDTF">2026-06-06T08:02:51Z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