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087A5B"/>
          <w:sz w:val="48"/>
        </w:rPr>
        <w:t>智能运营分析项目</w:t>
      </w:r>
    </w:p>
    <w:p>
      <w:pPr>
        <w:jc w:val="center"/>
      </w:pPr>
      <w:r>
        <w:rPr>
          <w:rFonts w:ascii="Noto Sans CJK SC" w:hAnsi="Noto Sans CJK SC" w:eastAsia="Noto Sans CJK SC"/>
          <w:b/>
          <w:color w:val="111827"/>
          <w:sz w:val="44"/>
        </w:rPr>
        <w:t>P6 UI 与功能排版优化落地方案</w:t>
      </w:r>
    </w:p>
    <w:p>
      <w:pPr>
        <w:jc w:val="center"/>
      </w:pPr>
      <w:r>
        <w:rPr>
          <w:rFonts w:ascii="Noto Sans CJK SC" w:hAnsi="Noto Sans CJK SC" w:eastAsia="Noto Sans CJK SC"/>
          <w:b/>
          <w:color w:val="0FB98A"/>
          <w:sz w:val="30"/>
        </w:rPr>
        <w:t>Codex 开发执行版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4748B"/>
          <w:sz w:val="21"/>
        </w:rPr>
        <w:t>版本：v20260622 | 适用阶段：P6 产品化 UI 与业务闭环增强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FF7"/>
            <w:tcBorders>
              <w:top w:val="single" w:sz="8" w:space="0" w:color="0FB98A"/>
              <w:left w:val="single" w:sz="8" w:space="0" w:color="0FB98A"/>
              <w:bottom w:val="single" w:sz="8" w:space="0" w:color="0FB98A"/>
              <w:right w:val="single" w:sz="8" w:space="0" w:color="0FB98A"/>
              <w:insideH w:val="single" w:sz="8" w:space="0" w:color="0FB98A"/>
              <w:insideV w:val="single" w:sz="8" w:space="0" w:color="0FB98A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FB98A"/>
                <w:sz w:val="21"/>
              </w:rPr>
              <w:t>文档定位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本方案用于直接交给 Codex 分阶段执行。目标不是推翻现有项目，而是在 P1-P5 工程基础上统一页面骨架、重排信息架构、强化可信展示，并逐步补齐报告审核、策略复核、模型生命周期等业务闭环。</w:t>
            </w:r>
          </w:p>
        </w:tc>
      </w:tr>
    </w:tbl>
    <w:p>
      <w:pPr>
        <w:spacing w:after="40"/>
      </w:pPr>
    </w:p>
    <w:p>
      <w:pPr>
        <w:spacing w:after="80" w:line="276" w:lineRule="auto"/>
        <w:jc w:val="center"/>
      </w:pPr>
      <w:r>
        <w:rPr>
          <w:rFonts w:ascii="Noto Sans CJK SC" w:hAnsi="Noto Sans CJK SC" w:eastAsia="Noto Sans CJK SC"/>
          <w:b w:val="0"/>
          <w:color w:val="64748B"/>
          <w:sz w:val="19"/>
        </w:rPr>
        <w:t>资料依据：智能运营分析项目 UI 优化参考图与当前功能差异分析说明文档 v20260621；智能运营分析项目全面分析说明文档 v20260621；当前页面截图与已生成 UI 参考图。</w:t>
      </w:r>
    </w:p>
    <w:p>
      <w:r>
        <w:br w:type="page"/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0. 给 Codex 的总执行指令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7E6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  <w:insideH w:val="single" w:sz="8" w:space="0" w:color="F59E0B"/>
              <w:insideV w:val="single" w:sz="8" w:space="0" w:color="F59E0B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59E0B"/>
                <w:sz w:val="21"/>
              </w:rPr>
              <w:t>总原则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只在现有 React 18 + TypeScript + Vite + Ant Design + ECharts + FastAPI + PostgreSQL + Redis/Celery 技术栈内优化。优先复用现有组件和接口，不允许为了参考图好看而伪造未部署组件、放宽 SQL 安全或隐藏 fallback 风险。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CJK SC"/>
                <w:color w:val="1F2937"/>
                <w:sz w:val="16"/>
              </w:rPr>
              <w:t>请先阅读本方案全文，再按 UI-0 -&gt; UI-1 -&gt; UI-2 -&gt; UI-3 -&gt; UI-4 分阶段执行。</w:t>
              <w:br/>
              <w:t>每一阶段必须：</w:t>
              <w:br/>
              <w:t>1. 先检索仓库现有组件、页面、API 文件，不要重复发明。</w:t>
              <w:br/>
              <w:t>2. 先给出本阶段修改文件清单和风险点，再动代码。</w:t>
              <w:br/>
              <w:t>3. 每完成一阶段做一次独立 commit。</w:t>
              <w:br/>
              <w:t>4. 必须运行前端 build 和相关后端/接口回归；如果某命令不存在，先说明实际可用命令。</w:t>
              <w:br/>
              <w:t>5. 所有 mock、fallback、派生数据必须在 UI 上显式标识。</w:t>
              <w:br/>
              <w:t>6. 没有真实后端状态机的功能只做“待接入/演示态”，不得假装已具备生产闭环。</w:t>
            </w:r>
          </w:p>
        </w:tc>
      </w:tr>
    </w:tbl>
    <w:p>
      <w:pPr>
        <w:spacing w:after="4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1. 项目当前状态与优化判断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项目已经从脚本型预测系统推进到前后端分离、数据库主事实源、RAG 可观测、任务中心生产化、P5 前端体验增强的综合平台。下一步的核心不是再堆功能，而是把现有功能组织成可运营、可信、可追溯、可闭环的产品。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800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维度</w:t>
            </w:r>
          </w:p>
        </w:tc>
        <w:tc>
          <w:tcPr>
            <w:tcW w:type="dxa" w:w="4320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当前基础</w:t>
            </w:r>
          </w:p>
        </w:tc>
        <w:tc>
          <w:tcPr>
            <w:tcW w:type="dxa" w:w="4320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下一步重点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工程基础</w:t>
            </w:r>
          </w:p>
        </w:tc>
        <w:tc>
          <w:tcPr>
            <w:tcW w:type="dxa" w:w="43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FastAPI、React/TypeScript、PostgreSQL、Redis/Celery、Docker、RAG/BGE、任务中心已具备。</w:t>
            </w:r>
          </w:p>
        </w:tc>
        <w:tc>
          <w:tcPr>
            <w:tcW w:type="dxa" w:w="43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保持现有技术栈，不做大规模重构；优先统一前端骨架和组件。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业务链路</w:t>
            </w:r>
          </w:p>
        </w:tc>
        <w:tc>
          <w:tcPr>
            <w:tcW w:type="dxa" w:w="43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已覆盖数据接入、价格预测、风险识别、策略建议、报告生成、AI 问答。</w:t>
            </w:r>
          </w:p>
        </w:tc>
        <w:tc>
          <w:tcPr>
            <w:tcW w:type="dxa" w:w="43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建立“数据可信 -&gt; 预测分析 -&gt; 风险识别 -&gt; 策略生成 -&gt; 人工复核 -&gt; 报告交付 -&gt; AI 解释”的页面主线。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数据可信</w:t>
            </w:r>
          </w:p>
        </w:tc>
        <w:tc>
          <w:tcPr>
            <w:tcW w:type="dxa" w:w="43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P1 数据目录、freshness、只读 SQL 安全、data quality、catalog 接口存在。</w:t>
            </w:r>
          </w:p>
        </w:tc>
        <w:tc>
          <w:tcPr>
            <w:tcW w:type="dxa" w:w="43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显式展示数据源、更新时间、fallback、空结果原因；补责任人、血缘、异常处理闭环。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模型工程</w:t>
            </w:r>
          </w:p>
        </w:tc>
        <w:tc>
          <w:tcPr>
            <w:tcW w:type="dxa" w:w="43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P2 已有 dataset、feature schema、leakage、backtest、baseline 指标。</w:t>
            </w:r>
          </w:p>
        </w:tc>
        <w:tc>
          <w:tcPr>
            <w:tcW w:type="dxa" w:w="43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用于可信展示与准入判断；不得包装成真实精度大幅提升。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RAG/AI</w:t>
            </w:r>
          </w:p>
        </w:tc>
        <w:tc>
          <w:tcPr>
            <w:tcW w:type="dxa" w:w="43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P3 RAG/BGE、reranker、health、P5 AI 输出体验已有基础。</w:t>
            </w:r>
          </w:p>
        </w:tc>
        <w:tc>
          <w:tcPr>
            <w:tcW w:type="dxa" w:w="43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普通用户看结构化业务答案；开发者 Trace 默认隐藏；RAG 降级必须醒目标注。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业务闭环</w:t>
            </w:r>
          </w:p>
        </w:tc>
        <w:tc>
          <w:tcPr>
            <w:tcW w:type="dxa" w:w="43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报告审核、策略复核、模型展示已部分具备。</w:t>
            </w:r>
          </w:p>
        </w:tc>
        <w:tc>
          <w:tcPr>
            <w:tcW w:type="dxa" w:w="43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后端状态机、审计、责任人、批量操作和版本生命周期仍需逐步补齐。</w:t>
            </w:r>
          </w:p>
        </w:tc>
      </w:tr>
    </w:tbl>
    <w:p>
      <w:pPr>
        <w:spacing w:after="4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2. 最终目标态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P6 完成后，项目应从“功能型后台”升级为“AI 售电交易运营决策工作台”。每个页面都要明确回答：当前状态是什么、风险在哪里、依据是什么、下一步能做什么。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584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目标</w:t>
            </w:r>
          </w:p>
        </w:tc>
        <w:tc>
          <w:tcPr>
            <w:tcW w:type="dxa" w:w="4680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落地表现</w:t>
            </w:r>
          </w:p>
        </w:tc>
        <w:tc>
          <w:tcPr>
            <w:tcW w:type="dxa" w:w="4176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验收口径</w:t>
            </w:r>
          </w:p>
        </w:tc>
      </w:tr>
      <w:tr>
        <w:tc>
          <w:tcPr>
            <w:tcW w:type="dxa" w:w="15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统一</w:t>
            </w:r>
          </w:p>
        </w:tc>
        <w:tc>
          <w:tcPr>
            <w:tcW w:type="dxa" w:w="46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全局框架、导航、顶部栏、筛选区、KPI、卡片、表格、图表、空态一致。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任意页面截图放在一起，不出现风格断裂、间距混乱、按钮样式不一。</w:t>
            </w:r>
          </w:p>
        </w:tc>
      </w:tr>
      <w:tr>
        <w:tc>
          <w:tcPr>
            <w:tcW w:type="dxa" w:w="15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可信</w:t>
            </w:r>
          </w:p>
        </w:tc>
        <w:tc>
          <w:tcPr>
            <w:tcW w:type="dxa" w:w="46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数据源、模型版本、更新时间、fallback/mock/派生状态可见。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业务用户能判断结果是否来自真实数据、RAG、只读 SQL 或 fallback。</w:t>
            </w:r>
          </w:p>
        </w:tc>
      </w:tr>
      <w:tr>
        <w:tc>
          <w:tcPr>
            <w:tcW w:type="dxa" w:w="15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可行动</w:t>
            </w:r>
          </w:p>
        </w:tc>
        <w:tc>
          <w:tcPr>
            <w:tcW w:type="dxa" w:w="46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每页都有刷新、导出、生成、复核、查看依据、重试、回滚等上下文动作。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用户不需要跳多个页面才能完成核心动作。</w:t>
            </w:r>
          </w:p>
        </w:tc>
      </w:tr>
      <w:tr>
        <w:tc>
          <w:tcPr>
            <w:tcW w:type="dxa" w:w="15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可追溯</w:t>
            </w:r>
          </w:p>
        </w:tc>
        <w:tc>
          <w:tcPr>
            <w:tcW w:type="dxa" w:w="46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报告审核、策略复核、模型切换、配置修改预留或写入审计。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关键操作能查到操作人、时间、对象、结果。</w:t>
            </w:r>
          </w:p>
        </w:tc>
      </w:tr>
      <w:tr>
        <w:tc>
          <w:tcPr>
            <w:tcW w:type="dxa" w:w="15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可扩展</w:t>
            </w:r>
          </w:p>
        </w:tc>
        <w:tc>
          <w:tcPr>
            <w:tcW w:type="dxa" w:w="46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同类 UI 出现超过两次必须封装组件。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新增页面时复用 AppShell、MetricCard、InsightPanel、TableCard 等组件。</w:t>
            </w:r>
          </w:p>
        </w:tc>
      </w:tr>
    </w:tbl>
    <w:p>
      <w:pPr>
        <w:spacing w:after="4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3. 全局设计系统与组件规范</w:t>
      </w:r>
    </w:p>
    <w:p>
      <w:pPr>
        <w:pStyle w:val="Heading2"/>
        <w:spacing w:before="60" w:after="80"/>
      </w:pPr>
      <w:r>
        <w:rPr>
          <w:rFonts w:ascii="Noto Sans CJK SC" w:hAnsi="Noto Sans CJK SC" w:eastAsia="Noto Sans CJK SC"/>
          <w:b/>
          <w:color w:val="111827"/>
          <w:sz w:val="26"/>
        </w:rPr>
        <w:t>3.1 视觉规范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72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规范项</w:t>
            </w:r>
          </w:p>
        </w:tc>
        <w:tc>
          <w:tcPr>
            <w:tcW w:type="dxa" w:w="316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建议值 / 规则</w:t>
            </w:r>
          </w:p>
        </w:tc>
        <w:tc>
          <w:tcPr>
            <w:tcW w:type="dxa" w:w="5472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说明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主色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#0FB98A / #087A5B</w:t>
            </w:r>
          </w:p>
        </w:tc>
        <w:tc>
          <w:tcPr>
            <w:tcW w:type="dxa" w:w="54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健康、成功、主按钮、当前导航高亮。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预测/模型色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#2F80ED</w:t>
            </w:r>
          </w:p>
        </w:tc>
        <w:tc>
          <w:tcPr>
            <w:tcW w:type="dxa" w:w="54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预测曲线、模型状态、信息提示。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提醒色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#F59E0B</w:t>
            </w:r>
          </w:p>
        </w:tc>
        <w:tc>
          <w:tcPr>
            <w:tcW w:type="dxa" w:w="54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待审核、需关注、降级、fallback。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风险色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#EF4444</w:t>
            </w:r>
          </w:p>
        </w:tc>
        <w:tc>
          <w:tcPr>
            <w:tcW w:type="dxa" w:w="54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高风险、失败、驳回、危险操作。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页面背景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#F6F8FA</w:t>
            </w:r>
          </w:p>
        </w:tc>
        <w:tc>
          <w:tcPr>
            <w:tcW w:type="dxa" w:w="54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所有主内容区域使用浅灰背景。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卡片背景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#FFFFFF</w:t>
            </w:r>
          </w:p>
        </w:tc>
        <w:tc>
          <w:tcPr>
            <w:tcW w:type="dxa" w:w="54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卡片使用白底、1px 浅边框、轻阴影。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圆角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8px/12px/16px 分层使用</w:t>
            </w:r>
          </w:p>
        </w:tc>
        <w:tc>
          <w:tcPr>
            <w:tcW w:type="dxa" w:w="54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按钮 8-10px，卡片 12-16px，抽屉/大面板 16px。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字号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12/14/16/20/24 分级</w:t>
            </w:r>
          </w:p>
        </w:tc>
        <w:tc>
          <w:tcPr>
            <w:tcW w:type="dxa" w:w="54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正文 14，表格 13，页标题 22-24，KPI 数值 24-30。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间距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8px 基准栅格</w:t>
            </w:r>
          </w:p>
        </w:tc>
        <w:tc>
          <w:tcPr>
            <w:tcW w:type="dxa" w:w="54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页面 padding 24，卡片 gap 16/20，表格行高 44。</w:t>
            </w:r>
          </w:p>
        </w:tc>
      </w:tr>
    </w:tbl>
    <w:p>
      <w:pPr>
        <w:spacing w:after="40"/>
      </w:pPr>
    </w:p>
    <w:p>
      <w:pPr>
        <w:pStyle w:val="Heading2"/>
        <w:spacing w:before="60" w:after="80"/>
      </w:pPr>
      <w:r>
        <w:rPr>
          <w:rFonts w:ascii="Noto Sans CJK SC" w:hAnsi="Noto Sans CJK SC" w:eastAsia="Noto Sans CJK SC"/>
          <w:b/>
          <w:color w:val="111827"/>
          <w:sz w:val="26"/>
        </w:rPr>
        <w:t>3.2 组件封装清单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016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组件</w:t>
            </w:r>
          </w:p>
        </w:tc>
        <w:tc>
          <w:tcPr>
            <w:tcW w:type="dxa" w:w="3456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用途</w:t>
            </w:r>
          </w:p>
        </w:tc>
        <w:tc>
          <w:tcPr>
            <w:tcW w:type="dxa" w:w="4896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必须支持属性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AppShell</w:t>
            </w:r>
          </w:p>
        </w:tc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全局框架：左侧导航 + 顶部栏 + 内容区。</w:t>
            </w:r>
          </w:p>
        </w:tc>
        <w:tc>
          <w:tcPr>
            <w:tcW w:type="dxa" w:w="48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collapsed、activeKey、breadcrumbs、globalStatus、user。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PageHeader</w:t>
            </w:r>
          </w:p>
        </w:tc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页面标题区和主操作区。</w:t>
            </w:r>
          </w:p>
        </w:tc>
        <w:tc>
          <w:tcPr>
            <w:tcW w:type="dxa" w:w="48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title、subtitle、tags、primaryAction、secondaryActions。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FilterBar</w:t>
            </w:r>
          </w:p>
        </w:tc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日期/区域/版本/状态/搜索等筛选。</w:t>
            </w:r>
          </w:p>
        </w:tc>
        <w:tc>
          <w:tcPr>
            <w:tcW w:type="dxa" w:w="48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items、onReset、onSearch、compact。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MetricCard</w:t>
            </w:r>
          </w:p>
        </w:tc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KPI 指标。</w:t>
            </w:r>
          </w:p>
        </w:tc>
        <w:tc>
          <w:tcPr>
            <w:tcW w:type="dxa" w:w="48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title、value、unit、trend、icon、status、sparkline、tooltip。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SectionCard</w:t>
            </w:r>
          </w:p>
        </w:tc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通用卡片容器。</w:t>
            </w:r>
          </w:p>
        </w:tc>
        <w:tc>
          <w:tcPr>
            <w:tcW w:type="dxa" w:w="48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title、extra、actions、loading、empty、status。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InsightPanel</w:t>
            </w:r>
          </w:p>
        </w:tc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右侧洞察/建议/风险说明。</w:t>
            </w:r>
          </w:p>
        </w:tc>
        <w:tc>
          <w:tcPr>
            <w:tcW w:type="dxa" w:w="48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sections、severity、evidence、actions。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StatusBadge</w:t>
            </w:r>
          </w:p>
        </w:tc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状态标签。</w:t>
            </w:r>
          </w:p>
        </w:tc>
        <w:tc>
          <w:tcPr>
            <w:tcW w:type="dxa" w:w="48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success/warning/error/info/neutral，必须语义化。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DataSourceTag</w:t>
            </w:r>
          </w:p>
        </w:tc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数据源/fallback/mock 标签。</w:t>
            </w:r>
          </w:p>
        </w:tc>
        <w:tc>
          <w:tcPr>
            <w:tcW w:type="dxa" w:w="48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source、isFallback、updatedAt、tooltip。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EvidencePanel</w:t>
            </w:r>
          </w:p>
        </w:tc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AI/报告/策略证据链。</w:t>
            </w:r>
          </w:p>
        </w:tc>
        <w:tc>
          <w:tcPr>
            <w:tcW w:type="dxa" w:w="48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tables、fields、timeRange、ragDocs、toolCalls。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ActionTimeline</w:t>
            </w:r>
          </w:p>
        </w:tc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报告、复核、任务、模型生命周期。</w:t>
            </w:r>
          </w:p>
        </w:tc>
        <w:tc>
          <w:tcPr>
            <w:tcW w:type="dxa" w:w="48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steps、status、operator、timestamp。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SmartEmpty</w:t>
            </w:r>
          </w:p>
        </w:tc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空态和异常态。</w:t>
            </w:r>
          </w:p>
        </w:tc>
        <w:tc>
          <w:tcPr>
            <w:tcW w:type="dxa" w:w="48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reason、suggestion、action、isError。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DetailDrawer</w:t>
            </w:r>
          </w:p>
        </w:tc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列表详情抽屉。</w:t>
            </w:r>
          </w:p>
        </w:tc>
        <w:tc>
          <w:tcPr>
            <w:tcW w:type="dxa" w:w="48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title、record、tabs、actions、auditTrail。</w:t>
            </w:r>
          </w:p>
        </w:tc>
      </w:tr>
    </w:tbl>
    <w:p>
      <w:pPr>
        <w:spacing w:after="40"/>
      </w:pPr>
    </w:p>
    <w:p>
      <w:pPr>
        <w:pStyle w:val="Heading2"/>
        <w:spacing w:before="60" w:after="80"/>
      </w:pPr>
      <w:r>
        <w:rPr>
          <w:rFonts w:ascii="Noto Sans CJK SC" w:hAnsi="Noto Sans CJK SC" w:eastAsia="Noto Sans CJK SC"/>
          <w:b/>
          <w:color w:val="111827"/>
          <w:sz w:val="26"/>
        </w:rPr>
        <w:t>3.3 推荐目录结构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CJK SC"/>
                <w:color w:val="1F2937"/>
                <w:sz w:val="16"/>
              </w:rPr>
              <w:t>frontend/src/</w:t>
              <w:br/>
              <w:t xml:space="preserve">  app/                 # AppShell、路由、权限守卫</w:t>
              <w:br/>
              <w:t xml:space="preserve">  layouts/             # BasicLayout、HeaderBar、Sidebar、PageContainer</w:t>
              <w:br/>
              <w:t xml:space="preserve">  styles/              # tokens.css、theme.ts、global.css</w:t>
              <w:br/>
              <w:t xml:space="preserve">  components/</w:t>
              <w:br/>
              <w:t xml:space="preserve">    base/              # MetricCard、SectionCard、StatusBadge、DataSourceTag</w:t>
              <w:br/>
              <w:t xml:space="preserve">    business/          # EvidencePanel、InsightPanel、ActionTimeline、HealthSummary</w:t>
              <w:br/>
              <w:t xml:space="preserve">    charts/            # PriceCurveChart、RiskTimelineChart、ModelErrorChart</w:t>
              <w:br/>
              <w:t xml:space="preserve">    tables/            # StandardTable、TableToolbar、TableEmpty</w:t>
              <w:br/>
              <w:t xml:space="preserve">  pages/</w:t>
              <w:br/>
              <w:t xml:space="preserve">    dashboard/</w:t>
              <w:br/>
              <w:t xml:space="preserve">    data/</w:t>
              <w:br/>
              <w:t xml:space="preserve">    forecast/</w:t>
              <w:br/>
              <w:t xml:space="preserve">    strategy/</w:t>
              <w:br/>
              <w:t xml:space="preserve">    assistant/</w:t>
              <w:br/>
              <w:t xml:space="preserve">    report/</w:t>
              <w:br/>
              <w:t xml:space="preserve">    model/</w:t>
              <w:br/>
              <w:t xml:space="preserve">    knowledge/</w:t>
              <w:br/>
              <w:t xml:space="preserve">    task/</w:t>
              <w:br/>
              <w:t xml:space="preserve">    settings/</w:t>
              <w:br/>
              <w:t xml:space="preserve">  services/            # api clients，保持与现有 dataApi/forecastApi/reportApi 等兼容</w:t>
              <w:br/>
              <w:t xml:space="preserve">  utils/               # formatters、statusMap、mockGuard、permission helpers</w:t>
              <w:br/>
              <w:t>backend/app/api/v1/endpoints/  # 仅在需要新增聚合接口或状态机时扩展</w:t>
              <w:br/>
              <w:t>backend/app/services/          # 聚合服务、复核/报告/模型生命周期服务</w:t>
              <w:br/>
              <w:t>backend/app/models/            # 需要新增持久化状态时再改表</w:t>
              <w:br/>
            </w:r>
          </w:p>
        </w:tc>
      </w:tr>
    </w:tbl>
    <w:p>
      <w:pPr>
        <w:spacing w:after="4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4. 分阶段实施路线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800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阶段</w:t>
            </w:r>
          </w:p>
        </w:tc>
        <w:tc>
          <w:tcPr>
            <w:tcW w:type="dxa" w:w="2304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目标</w:t>
            </w:r>
          </w:p>
        </w:tc>
        <w:tc>
          <w:tcPr>
            <w:tcW w:type="dxa" w:w="4464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主要任务</w:t>
            </w:r>
          </w:p>
        </w:tc>
        <w:tc>
          <w:tcPr>
            <w:tcW w:type="dxa" w:w="1152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优先级</w:t>
            </w:r>
          </w:p>
        </w:tc>
        <w:tc>
          <w:tcPr>
            <w:tcW w:type="dxa" w:w="2592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建议提交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UI-0 统一页面骨架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先让所有页面长在同一套规则上。</w:t>
            </w:r>
          </w:p>
        </w:tc>
        <w:tc>
          <w:tcPr>
            <w:tcW w:type="dxa" w:w="44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AppShell、导航分组、顶部栏、PageHeader、FilterBar、MetricCard、状态色、空态。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feat(ui): unify app shell and design system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UI-1 高价值首屏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优先改最常打开且已有真实接口的页面。</w:t>
            </w:r>
          </w:p>
        </w:tc>
        <w:tc>
          <w:tcPr>
            <w:tcW w:type="dxa" w:w="44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首页驾驶舱、数据总览、预测24小时、任务中心总览。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P0/P1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feat(ui): redesign core overview screens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UI-2 可信与 AI 能力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强化数据可信、模型可信、RAG 可观测和 AI 结构化输出。</w:t>
            </w:r>
          </w:p>
        </w:tc>
        <w:tc>
          <w:tcPr>
            <w:tcW w:type="dxa" w:w="44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数据质量/目录、预测峰谷+模型评估、AI助手、知识库。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P1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feat(ui): add trust and AI evidence views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UI-3 审批与生命周期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补齐报告审核、策略复核、模型上线/回滚等半闭环能力。</w:t>
            </w:r>
          </w:p>
        </w:tc>
        <w:tc>
          <w:tcPr>
            <w:tcW w:type="dxa" w:w="44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报告列表/审核发布、策略总览/复核、模型中心一体化。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P2/P3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feat(workflow): add review and lifecycle views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UI-4 业务执行增强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生产化能力增强。</w:t>
            </w:r>
          </w:p>
        </w:tc>
        <w:tc>
          <w:tcPr>
            <w:tcW w:type="dxa" w:w="44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储能 SOC、执行清单、真实上一批次对比、策略收益回填、任务 SLA、监控告警。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P3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feat(ops): add execution and monitoring enhancements</w:t>
            </w:r>
          </w:p>
        </w:tc>
      </w:tr>
    </w:tbl>
    <w:p>
      <w:pPr>
        <w:spacing w:after="4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5. UI-0：统一页面骨架详细任务</w:t>
      </w:r>
    </w:p>
    <w:p>
      <w:pPr>
        <w:pStyle w:val="Heading2"/>
        <w:spacing w:before="60" w:after="80"/>
      </w:pPr>
      <w:r>
        <w:rPr>
          <w:rFonts w:ascii="Noto Sans CJK SC" w:hAnsi="Noto Sans CJK SC" w:eastAsia="Noto Sans CJK SC"/>
          <w:b/>
          <w:color w:val="111827"/>
          <w:sz w:val="26"/>
        </w:rPr>
        <w:t>5.1 导航和全局框架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72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任务</w:t>
            </w:r>
          </w:p>
        </w:tc>
        <w:tc>
          <w:tcPr>
            <w:tcW w:type="dxa" w:w="5760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Codex 执行要求</w:t>
            </w:r>
          </w:p>
        </w:tc>
        <w:tc>
          <w:tcPr>
            <w:tcW w:type="dxa" w:w="316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验收标准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导航分组</w:t>
            </w:r>
          </w:p>
        </w:tc>
        <w:tc>
          <w:tcPr>
            <w:tcW w:type="dxa" w:w="5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将 Sidebar 从平铺菜单改为分组：业务中心（首页、数据中心、预测中心、策略中心、报告中心）、智能应用（AI助手、知识库）、运营管理（模型中心、任务中心、系统设置）。如当前路由不适合分组，先只改显示，不改路由。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导航高亮准确，折叠状态不丢失图标和 tooltip；所有现有路由可访问。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顶部栏降噪</w:t>
            </w:r>
          </w:p>
        </w:tc>
        <w:tc>
          <w:tcPr>
            <w:tcW w:type="dxa" w:w="5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统一项目选择、数据时间、区域、模型版本、系统状态、通知、帮助、刷新、用户菜单。不要把业务筛选塞到顶部全局栏。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顶部栏高度稳定；刷新、用户菜单、通知样式一致；状态灯能展示正常/警告/错误。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页面模板</w:t>
            </w:r>
          </w:p>
        </w:tc>
        <w:tc>
          <w:tcPr>
            <w:tcW w:type="dxa" w:w="5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所有页面统一 PageHeader + FilterBar + KPI + MainGrid。没有筛选的页面也保留标准标题区。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任意页面标题、按钮、筛选区对齐；页面不会出现大面积空白或卡片错位。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响应式约束</w:t>
            </w:r>
          </w:p>
        </w:tc>
        <w:tc>
          <w:tcPr>
            <w:tcW w:type="dxa" w:w="5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以 1440px 和 1920px 宽屏为主，兼容 1366px；卡片 grid 使用 CSS grid/flex，避免写死像素。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1366px 下不出现横向溢出；表格可横向滚动但页面主体不破。</w:t>
            </w:r>
          </w:p>
        </w:tc>
      </w:tr>
    </w:tbl>
    <w:p>
      <w:pPr>
        <w:spacing w:after="40"/>
      </w:pPr>
    </w:p>
    <w:p>
      <w:pPr>
        <w:pStyle w:val="Heading2"/>
        <w:spacing w:before="60" w:after="80"/>
      </w:pPr>
      <w:r>
        <w:rPr>
          <w:rFonts w:ascii="Noto Sans CJK SC" w:hAnsi="Noto Sans CJK SC" w:eastAsia="Noto Sans CJK SC"/>
          <w:b/>
          <w:color w:val="111827"/>
          <w:sz w:val="26"/>
        </w:rPr>
        <w:t>5.2 统一状态与数据标签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所有页面必须展示 data source，例如 postgresql、postgresql_or_file、mock_fallback、derived。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fallback/mock/降级状态使用橙色，不允许用绿色“正常”掩盖。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RAG 维度不一致、LLM fallback、数据库不可用、任务中心空记录都必须给出原因和下一步动作。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按钮分级固定：主按钮用于生成/发布/启动；次按钮用于刷新/导出/详情；危险按钮用于驳回/禁用/回滚。</w:t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6. UI-1：高价值首屏详细任务</w:t>
      </w:r>
    </w:p>
    <w:p>
      <w:pPr>
        <w:pStyle w:val="Heading2"/>
        <w:spacing w:before="60" w:after="80"/>
      </w:pPr>
      <w:r>
        <w:rPr>
          <w:rFonts w:ascii="Noto Sans CJK SC" w:hAnsi="Noto Sans CJK SC" w:eastAsia="Noto Sans CJK SC"/>
          <w:b/>
          <w:color w:val="111827"/>
          <w:sz w:val="26"/>
        </w:rPr>
        <w:t>6.1 首页 / 总览驾驶舱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72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区域</w:t>
            </w:r>
          </w:p>
        </w:tc>
        <w:tc>
          <w:tcPr>
            <w:tcW w:type="dxa" w:w="5040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保留/新增功能</w:t>
            </w:r>
          </w:p>
        </w:tc>
        <w:tc>
          <w:tcPr>
            <w:tcW w:type="dxa" w:w="388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数据来源与注意事项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顶部 KPI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今日供需风险指数、预测可信度、策略预计收益、报告待审、任务提醒、数据健康。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先由 dashboardApi 前端聚合；后续可新增 /api/dashboard/summary。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主图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24小时供需风险总览：预测电价、负荷、新能源/可用性、低价窗口、高风险时段。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raw_renewable 不稳定时必须标注“不可用/缺口”。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右侧洞察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AI建议摘要、策略执行摘要、任务提醒。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AI 文案必须来自工具/RAG/规则或标注为规则生成。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下方卡片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关键预测指标、模型状态、数据健康、最新报告、快捷入口。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避免堆大图装饰；首页只放决策相关信息。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快捷入口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查看24小时预测、生成策略、打开AI助手、审核报告、任务中心、数据健康。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所有入口必须跳转到真实路由。</w:t>
            </w:r>
          </w:p>
        </w:tc>
      </w:tr>
    </w:tbl>
    <w:p>
      <w:pPr>
        <w:spacing w:after="40"/>
      </w:pPr>
    </w:p>
    <w:p>
      <w:pPr>
        <w:pStyle w:val="Heading2"/>
        <w:spacing w:before="60" w:after="80"/>
      </w:pPr>
      <w:r>
        <w:rPr>
          <w:rFonts w:ascii="Noto Sans CJK SC" w:hAnsi="Noto Sans CJK SC" w:eastAsia="Noto Sans CJK SC"/>
          <w:b/>
          <w:color w:val="111827"/>
          <w:sz w:val="26"/>
        </w:rPr>
        <w:t>6.2 数据中心 / 数据总览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72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区域</w:t>
            </w:r>
          </w:p>
        </w:tc>
        <w:tc>
          <w:tcPr>
            <w:tcW w:type="dxa" w:w="5040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功能要求</w:t>
            </w:r>
          </w:p>
        </w:tc>
        <w:tc>
          <w:tcPr>
            <w:tcW w:type="dxa" w:w="388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落地说明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KPI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数据源数量、同步任务、异常表数、完整率、昨日更新量。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昨日更新量和流程成功率可先由 importExportRecords/dataQuality 聚合。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接入流程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采集 -&gt; 清洗 -&gt; 校验 -&gt; 入库 -&gt; 特征/服务。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仅展示真实已支持的数据流；不可虚构外部中间件。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同步记录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任务名、数据源、开始时间、耗时、状态、操作。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复用现有导入导出记录表。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右侧健康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完整率环图、异常提醒、快捷操作。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异常按表/字段/新鲜度聚类。</w:t>
            </w:r>
          </w:p>
        </w:tc>
      </w:tr>
    </w:tbl>
    <w:p>
      <w:pPr>
        <w:spacing w:after="40"/>
      </w:pPr>
    </w:p>
    <w:p>
      <w:pPr>
        <w:pStyle w:val="Heading2"/>
        <w:spacing w:before="60" w:after="80"/>
      </w:pPr>
      <w:r>
        <w:rPr>
          <w:rFonts w:ascii="Noto Sans CJK SC" w:hAnsi="Noto Sans CJK SC" w:eastAsia="Noto Sans CJK SC"/>
          <w:b/>
          <w:color w:val="111827"/>
          <w:sz w:val="26"/>
        </w:rPr>
        <w:t>6.3 预测中心 / 24小时预测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72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区域</w:t>
            </w:r>
          </w:p>
        </w:tc>
        <w:tc>
          <w:tcPr>
            <w:tcW w:type="dxa" w:w="5040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功能要求</w:t>
            </w:r>
          </w:p>
        </w:tc>
        <w:tc>
          <w:tcPr>
            <w:tcW w:type="dxa" w:w="388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落地说明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筛选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预测日期、区域、模型版本、数据源、刷新、导出、生成策略。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生成策略按钮联动策略中心或调用已有策略生成接口。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KPI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最高价、最低价、均价、峰谷价差、预测可信度。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可信度如果是估算，必须注明估算规则。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主图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预测曲线 + 置信区间 + 低价窗口 + 高风险窗口 + 峰值标记。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置信区间可先用误差规则估算，长期由模型输出。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右侧洞察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今日核心结论、高价风险时段、低价采购窗口、AI建议、数据健康。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不把策略结论混入预测事实，建议动作要明确“建议”。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明细表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时间、预测电价、风险等级、建议动作、置信度、小时解释。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小时解释复用现有解释能力。</w:t>
            </w:r>
          </w:p>
        </w:tc>
      </w:tr>
    </w:tbl>
    <w:p>
      <w:pPr>
        <w:spacing w:after="40"/>
      </w:pPr>
    </w:p>
    <w:p>
      <w:pPr>
        <w:pStyle w:val="Heading2"/>
        <w:spacing w:before="60" w:after="80"/>
      </w:pPr>
      <w:r>
        <w:rPr>
          <w:rFonts w:ascii="Noto Sans CJK SC" w:hAnsi="Noto Sans CJK SC" w:eastAsia="Noto Sans CJK SC"/>
          <w:b/>
          <w:color w:val="111827"/>
          <w:sz w:val="26"/>
        </w:rPr>
        <w:t>6.4 任务中心 / 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72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区域</w:t>
            </w:r>
          </w:p>
        </w:tc>
        <w:tc>
          <w:tcPr>
            <w:tcW w:type="dxa" w:w="5040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功能要求</w:t>
            </w:r>
          </w:p>
        </w:tc>
        <w:tc>
          <w:tcPr>
            <w:tcW w:type="dxa" w:w="388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落地说明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KPI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任务总数、成功、运行中/排队、失败/超时、队列数。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复用 P4 task lifecycle 数据。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任务列表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任务名称、状态、进度、队列、执行模式、重试次数、操作。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保留取消、重试、日志分页约束。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健康面板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execution_mode、Redis、Celery、active_workers、running、pending、failed、timeout。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Celery 不可用时说明 auto/local_thread 状态。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失败重试</w:t>
            </w:r>
          </w:p>
        </w:tc>
        <w:tc>
          <w:tcPr>
            <w:tcW w:type="dxa" w:w="50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失败原因、处理建议、立即重试。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不要只显示“暂无数据”，空态要说明当前无失败任务。</w:t>
            </w:r>
          </w:p>
        </w:tc>
      </w:tr>
    </w:tbl>
    <w:p>
      <w:pPr>
        <w:spacing w:after="4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7. UI-2：可信与 AI 能力详细任务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016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页面</w:t>
            </w:r>
          </w:p>
        </w:tc>
        <w:tc>
          <w:tcPr>
            <w:tcW w:type="dxa" w:w="388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优化内容</w:t>
            </w:r>
          </w:p>
        </w:tc>
        <w:tc>
          <w:tcPr>
            <w:tcW w:type="dxa" w:w="3024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接口/数据要求</w:t>
            </w:r>
          </w:p>
        </w:tc>
        <w:tc>
          <w:tcPr>
            <w:tcW w:type="dxa" w:w="2592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注意事项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数据质量 / 数据目录组合页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质量 KPI、近7天质量趋势、异常明细、目录卡片、选中表详情、字段预览、血缘/用途说明。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dataQuality、dataCatalog、dataFields、dataFreshness、databaseTables。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责任人、血缘、处理状态可先预留字段，不伪造已完成。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预测峰谷 + 模型评估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峰谷价差指数、峰谷时段、波动率、业务解释、baseline、schema、leakage、backtest、训练状态。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modelBacktestSummary、featureSchema、leakageCheck、retrainSuggestion、tasks。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baseline 是对照，不等于模型效果已大幅提升。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AI助手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三栏布局：会话列表、结构化回答、右侧证据栏；普通用户隐藏 Trace。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answer_chat_accurate、RAG、tool calls、只读 SQL。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所有数据型回答必须展示表名、字段、时间范围、查询摘要、空结果原因。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知识库/RAG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文档数、chunks、待处理、QA通过率、RAG状态、文档表格、索引刷新、检索测试、AI整理答案。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stats、health、search、index-local、embedding-refresh。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embedding_dim、provider、fallback、降级原因必须显式展示。</w:t>
            </w:r>
          </w:p>
        </w:tc>
      </w:tr>
    </w:tbl>
    <w:p>
      <w:pPr>
        <w:spacing w:after="4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8. UI-3：审批与生命周期详细任务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7E6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  <w:insideH w:val="single" w:sz="8" w:space="0" w:color="F59E0B"/>
              <w:insideV w:val="single" w:sz="8" w:space="0" w:color="F59E0B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59E0B"/>
                <w:sz w:val="21"/>
              </w:rPr>
              <w:t>重要边界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该阶段涉及后端状态机。UI 可以先做“待接入/演示态”，但只要按钮会改变业务状态，就必须有真实 API、数据库字段、权限校验和审计记录。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160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页面/能力</w:t>
            </w:r>
          </w:p>
        </w:tc>
        <w:tc>
          <w:tcPr>
            <w:tcW w:type="dxa" w:w="3456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前端目标</w:t>
            </w:r>
          </w:p>
        </w:tc>
        <w:tc>
          <w:tcPr>
            <w:tcW w:type="dxa" w:w="3600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后端最小增强</w:t>
            </w:r>
          </w:p>
        </w:tc>
        <w:tc>
          <w:tcPr>
            <w:tcW w:type="dxa" w:w="2016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验收</w:t>
            </w:r>
          </w:p>
        </w:tc>
      </w:tr>
      <w:tr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策略中心 / 总览</w:t>
            </w:r>
          </w:p>
        </w:tc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今日策略结论、风险时段、低价窗口、收益、人工复核数、策略时间轴、风险来源。</w:t>
            </w:r>
          </w:p>
        </w:tc>
        <w:tc>
          <w:tcPr>
            <w:tcW w:type="dxa" w:w="36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扩展 strategy result 字段：risk_sources、priority_score、execution_status、revenue_baseline。</w:t>
            </w:r>
          </w:p>
        </w:tc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策略建议可追溯到预测批次、模型版本、数据时间。</w:t>
            </w:r>
          </w:p>
        </w:tc>
      </w:tr>
      <w:tr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策略中心 / 人工复核</w:t>
            </w:r>
          </w:p>
        </w:tc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复核清单、批量通过/驳回/标记、右侧详情、证据链、备注、审计时间线。</w:t>
            </w:r>
          </w:p>
        </w:tc>
        <w:tc>
          <w:tcPr>
            <w:tcW w:type="dxa" w:w="36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扩展 reviews：status、assignee、decision、comment、evidence_json、audit_id、updated_at。</w:t>
            </w:r>
          </w:p>
        </w:tc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通过/驳回会落库，刷新后状态不丢。</w:t>
            </w:r>
          </w:p>
        </w:tc>
      </w:tr>
      <w:tr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报告中心 / 列表预览</w:t>
            </w:r>
          </w:p>
        </w:tc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多报告列表、报告预览、下载、详情、审核入口、发布记录。</w:t>
            </w:r>
          </w:p>
        </w:tc>
        <w:tc>
          <w:tcPr>
            <w:tcW w:type="dxa" w:w="36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report list 分页、report version、publish log、archive status。</w:t>
            </w:r>
          </w:p>
        </w:tc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不同报告可切换预览，状态准确。</w:t>
            </w:r>
          </w:p>
        </w:tc>
      </w:tr>
      <w:tr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报告中心 / 审核发布</w:t>
            </w:r>
          </w:p>
        </w:tc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审核意见、通过/驳回/重新生成/发布归档、版本信息、时间线。</w:t>
            </w:r>
          </w:p>
        </w:tc>
        <w:tc>
          <w:tcPr>
            <w:tcW w:type="dxa" w:w="36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approve/reject/publish 强化状态校验和审计。</w:t>
            </w:r>
          </w:p>
        </w:tc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未填写审核意见时可按规则禁止驳回或提示。</w:t>
            </w:r>
          </w:p>
        </w:tc>
      </w:tr>
      <w:tr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模型中心 / 生命周期</w:t>
            </w:r>
          </w:p>
        </w:tc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Active/Candidate、误差趋势、版本对比、准入规则、回滚操作。</w:t>
            </w:r>
          </w:p>
        </w:tc>
        <w:tc>
          <w:tcPr>
            <w:tcW w:type="dxa" w:w="36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model_registry mutation：set_active、rollback、register_candidate、audit log。</w:t>
            </w:r>
          </w:p>
        </w:tc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模型切换有权限、确认框、风险提示、审计记录。</w:t>
            </w:r>
          </w:p>
        </w:tc>
      </w:tr>
    </w:tbl>
    <w:p>
      <w:pPr>
        <w:spacing w:after="4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9. UI-4：业务执行增强详细任务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304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能力</w:t>
            </w:r>
          </w:p>
        </w:tc>
        <w:tc>
          <w:tcPr>
            <w:tcW w:type="dxa" w:w="3024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目标</w:t>
            </w:r>
          </w:p>
        </w:tc>
        <w:tc>
          <w:tcPr>
            <w:tcW w:type="dxa" w:w="460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实现建议</w:t>
            </w:r>
          </w:p>
        </w:tc>
        <w:tc>
          <w:tcPr>
            <w:tcW w:type="dxa" w:w="1152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优先级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储能 SOC 与执行清单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把低价窗口和储能建议转成可执行动作。</w:t>
            </w:r>
          </w:p>
        </w:tc>
        <w:tc>
          <w:tcPr>
            <w:tcW w:type="dxa" w:w="460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新增 storage_config、strategy_execution_items、execution_status；先用参数化 SOC 曲线，不接真实设备。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P3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真实上一批次预测对比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历史对比页展示最新预测、上一批次、历史均值、差值表。</w:t>
            </w:r>
          </w:p>
        </w:tc>
        <w:tc>
          <w:tcPr>
            <w:tcW w:type="dxa" w:w="460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确保 forecast_runs 持久化并暴露 compare API；actual/history 不再由当前预测衍生。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P2/P3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策略收益回填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展示执行前预计收益与执行后收益。</w:t>
            </w:r>
          </w:p>
        </w:tc>
        <w:tc>
          <w:tcPr>
            <w:tcW w:type="dxa" w:w="460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新增 strategy_execution_result 或在现有策略记录中增加 realized_revenue。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P3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任务 SLA 与失败聚类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任务中心从列表变成运维工作台。</w:t>
            </w:r>
          </w:p>
        </w:tc>
        <w:tc>
          <w:tcPr>
            <w:tcW w:type="dxa" w:w="460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按任务类型统计耗时、失败原因、重试次数；触发告警。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P3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监控告警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系统设置/首页展示真实服务健康。</w:t>
            </w:r>
          </w:p>
        </w:tc>
        <w:tc>
          <w:tcPr>
            <w:tcW w:type="dxa" w:w="460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只接真实服务：PostgreSQL、Redis、Celery、RAG/BGE、LLM、日志/审计。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P3</w:t>
            </w:r>
          </w:p>
        </w:tc>
      </w:tr>
    </w:tbl>
    <w:p>
      <w:pPr>
        <w:spacing w:after="4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10. 具体页面实施清单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016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页面</w:t>
            </w:r>
          </w:p>
        </w:tc>
        <w:tc>
          <w:tcPr>
            <w:tcW w:type="dxa" w:w="2880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可能涉及文件</w:t>
            </w:r>
          </w:p>
        </w:tc>
        <w:tc>
          <w:tcPr>
            <w:tcW w:type="dxa" w:w="5184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主要优化内容</w:t>
            </w:r>
          </w:p>
        </w:tc>
        <w:tc>
          <w:tcPr>
            <w:tcW w:type="dxa" w:w="936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优先级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全局框架层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AppShell / HeaderBar / Sidebar / PageContainer</w:t>
            </w:r>
          </w:p>
        </w:tc>
        <w:tc>
          <w:tcPr>
            <w:tcW w:type="dxa" w:w="51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导航分组、顶部状态、全局搜索、通知、统一筛选条、KPI 卡片网格。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P0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首页驾驶舱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DashboardPage</w:t>
            </w:r>
          </w:p>
        </w:tc>
        <w:tc>
          <w:tcPr>
            <w:tcW w:type="dxa" w:w="51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供需风险、预测可信度、策略收益、报告待审、任务提醒、数据健康、AI建议、快捷入口。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P0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数据总览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DataCenterPage / data-access or overview</w:t>
            </w:r>
          </w:p>
        </w:tc>
        <w:tc>
          <w:tcPr>
            <w:tcW w:type="dxa" w:w="51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数据源数量、同步任务、异常表、完整率、接入流程、同步记录、快捷操作。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数据质量目录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DataCenterPage / data-quality &amp; catalog</w:t>
            </w:r>
          </w:p>
        </w:tc>
        <w:tc>
          <w:tcPr>
            <w:tcW w:type="dxa" w:w="51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缺失率、重复率、新鲜度、校验通过率、异常明细、目录卡片、字段详情。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预测24h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ForecastCenterPage / forecast-24h</w:t>
            </w:r>
          </w:p>
        </w:tc>
        <w:tc>
          <w:tcPr>
            <w:tcW w:type="dxa" w:w="51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预测筛选、KPI、曲线、置信区间、低价/高风险窗口、策略洞察、明细表。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预测历史对比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ForecastCenterPage / forecast-history</w:t>
            </w:r>
          </w:p>
        </w:tc>
        <w:tc>
          <w:tcPr>
            <w:tcW w:type="dxa" w:w="51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最新预测、上一批次、历史均值、变化率、差值表、AI变化归因。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P2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峰谷+模型评估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ForecastCenterPage / forecast-peak + forecast-model</w:t>
            </w:r>
          </w:p>
        </w:tc>
        <w:tc>
          <w:tcPr>
            <w:tcW w:type="dxa" w:w="51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峰谷解释、baseline、schema、leakage、backtest、训练状态。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策略总览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StrategyCenterPage / strategy-high or overview</w:t>
            </w:r>
          </w:p>
        </w:tc>
        <w:tc>
          <w:tcPr>
            <w:tcW w:type="dxa" w:w="51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策略结论、风险窗口、低价窗口、收益、复核数、时间轴、风险来源。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P2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低价/储能策略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StrategyCenterPage / strategy-low + storage</w:t>
            </w:r>
          </w:p>
        </w:tc>
        <w:tc>
          <w:tcPr>
            <w:tcW w:type="dxa" w:w="51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低价窗口、SOC曲线、充放电计划、执行清单、详情抽屉。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P3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策略人工复核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StrategyCenterPage / strategy-review</w:t>
            </w:r>
          </w:p>
        </w:tc>
        <w:tc>
          <w:tcPr>
            <w:tcW w:type="dxa" w:w="51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复核状态流、批量操作、证据链、责任人、审核日志、SLA。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P3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AI助手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AssistantPage</w:t>
            </w:r>
          </w:p>
        </w:tc>
        <w:tc>
          <w:tcPr>
            <w:tcW w:type="dxa" w:w="51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结构化回答、右侧依据栏、追问 chips、隐藏 Trace、fallback 标识。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报告列表预览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ReportCenterPage / report-daily/list</w:t>
            </w:r>
          </w:p>
        </w:tc>
        <w:tc>
          <w:tcPr>
            <w:tcW w:type="dxa" w:w="51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报告列表、预览、下载、详情、审核入口、发布记录。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P2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报告审核发布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ReportCenterPage / review/publish</w:t>
            </w:r>
          </w:p>
        </w:tc>
        <w:tc>
          <w:tcPr>
            <w:tcW w:type="dxa" w:w="51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审核意见、通过/驳回/重新生成/发布归档、版本信息、时间线。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P2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模型中心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ModelCenterPage</w:t>
            </w:r>
          </w:p>
        </w:tc>
        <w:tc>
          <w:tcPr>
            <w:tcW w:type="dxa" w:w="51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Active/Candidate、误差趋势、版本对比、准入规则、回滚、训练状态。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P2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知识库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KnowledgeBasePage</w:t>
            </w:r>
          </w:p>
        </w:tc>
        <w:tc>
          <w:tcPr>
            <w:tcW w:type="dxa" w:w="51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文档、索引、检索、QA、RAG状态、降级提示、AI整理答案。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任务中心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TaskCenterPage</w:t>
            </w:r>
          </w:p>
        </w:tc>
        <w:tc>
          <w:tcPr>
            <w:tcW w:type="dxa" w:w="51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任务总览、运行日志、健康、失败重试、队列概览、空态优化。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系统设置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SettingsPage / UserManagementPage</w:t>
            </w:r>
          </w:p>
        </w:tc>
        <w:tc>
          <w:tcPr>
            <w:tcW w:type="dxa" w:w="51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系统状态、用户、角色、参数、接口、健康明细、脱敏配置。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P2</w:t>
            </w:r>
          </w:p>
        </w:tc>
      </w:tr>
    </w:tbl>
    <w:p>
      <w:pPr>
        <w:spacing w:after="4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11. 后端/API 最小增强清单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880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接口/模型</w:t>
            </w:r>
          </w:p>
        </w:tc>
        <w:tc>
          <w:tcPr>
            <w:tcW w:type="dxa" w:w="3312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用途</w:t>
            </w:r>
          </w:p>
        </w:tc>
        <w:tc>
          <w:tcPr>
            <w:tcW w:type="dxa" w:w="1584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是否必须</w:t>
            </w:r>
          </w:p>
        </w:tc>
        <w:tc>
          <w:tcPr>
            <w:tcW w:type="dxa" w:w="3024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/api/dashboard/summary</w:t>
            </w:r>
          </w:p>
        </w:tc>
        <w:tc>
          <w:tcPr>
            <w:tcW w:type="dxa" w:w="33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首页驾驶舱聚合接口。</w:t>
            </w:r>
          </w:p>
        </w:tc>
        <w:tc>
          <w:tcPr>
            <w:tcW w:type="dxa" w:w="15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非必须，建议后续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UI-1 可先前端聚合，稳定后下沉。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/api/forecast/compare</w:t>
            </w:r>
          </w:p>
        </w:tc>
        <w:tc>
          <w:tcPr>
            <w:tcW w:type="dxa" w:w="33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真实上一批次/历史均值对比。</w:t>
            </w:r>
          </w:p>
        </w:tc>
        <w:tc>
          <w:tcPr>
            <w:tcW w:type="dxa" w:w="15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历史对比必需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避免 actual/history 由当前预测衍生。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strategy_reviews 扩展</w:t>
            </w:r>
          </w:p>
        </w:tc>
        <w:tc>
          <w:tcPr>
            <w:tcW w:type="dxa" w:w="33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策略复核状态流。</w:t>
            </w:r>
          </w:p>
        </w:tc>
        <w:tc>
          <w:tcPr>
            <w:tcW w:type="dxa" w:w="15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人工复核必需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status、decision、assignee、evidence_json、audit_id。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strategy_execution_items</w:t>
            </w:r>
          </w:p>
        </w:tc>
        <w:tc>
          <w:tcPr>
            <w:tcW w:type="dxa" w:w="33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策略执行清单。</w:t>
            </w:r>
          </w:p>
        </w:tc>
        <w:tc>
          <w:tcPr>
            <w:tcW w:type="dxa" w:w="15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储能/执行闭环必需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低价采购、储能充放电、执行状态。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report_versions / report_publish_logs</w:t>
            </w:r>
          </w:p>
        </w:tc>
        <w:tc>
          <w:tcPr>
            <w:tcW w:type="dxa" w:w="33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报告版本和发布归档。</w:t>
            </w:r>
          </w:p>
        </w:tc>
        <w:tc>
          <w:tcPr>
            <w:tcW w:type="dxa" w:w="15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报告闭环必需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支持列表、版本差异、归档、发布记录。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model_registry mutations</w:t>
            </w:r>
          </w:p>
        </w:tc>
        <w:tc>
          <w:tcPr>
            <w:tcW w:type="dxa" w:w="33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模型设为 Active、回滚、候选注册。</w:t>
            </w:r>
          </w:p>
        </w:tc>
        <w:tc>
          <w:tcPr>
            <w:tcW w:type="dxa" w:w="15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模型生命周期必需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必须有权限校验、审计和确认。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catalog metadata 扩展</w:t>
            </w:r>
          </w:p>
        </w:tc>
        <w:tc>
          <w:tcPr>
            <w:tcW w:type="dxa" w:w="33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数据责任人、血缘、用途、处理状态。</w:t>
            </w:r>
          </w:p>
        </w:tc>
        <w:tc>
          <w:tcPr>
            <w:tcW w:type="dxa" w:w="15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可信增强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UI 可先预留，后端逐步补。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notification/global search</w:t>
            </w:r>
          </w:p>
        </w:tc>
        <w:tc>
          <w:tcPr>
            <w:tcW w:type="dxa" w:w="33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全局通知和搜索。</w:t>
            </w:r>
          </w:p>
        </w:tc>
        <w:tc>
          <w:tcPr>
            <w:tcW w:type="dxa" w:w="15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可选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先做轻量前端索引或聚合，后端后补。</w:t>
            </w:r>
          </w:p>
        </w:tc>
      </w:tr>
    </w:tbl>
    <w:p>
      <w:pPr>
        <w:spacing w:after="4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12. 数据、mock、fallback 与安全约束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生产态必须能关闭 mock fallback；如果开启，页面必须显示“mock_fallback”或“演示数据”。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AI 数据型回答必须基于工具、只读 SQL 或 RAG 证据；不能编造价格、日期、时段和交易结论。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只读 SQL 必须继续禁止写操作、多语句、敏感表、系统表和危险函数，不得为了页面方便放宽。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P2 模型指标只能作为工程化和 baseline 依据，不得包装成已完成精度提升。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RAG 页面必须显式展示 provider、模型路径、embedding_dim、chunk_count、fallback 状态。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系统设置不能照抄 Kafka、Airflow、MinIO、Prometheus、ELK 等未部署组件；只展示真实服务。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报告审核、策略复核、模型切换、配置修改必须写审计或至少预留 audit log 字段。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密钥、token、数据库连接串必须脱敏展示，不得在前端暴露。</w:t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13. Codex 分批执行提示词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以下提示词可逐段发给 Codex。每次只执行一个阶段，避免一次性改动过大。</w:t>
      </w:r>
    </w:p>
    <w:p>
      <w:pPr>
        <w:pStyle w:val="Heading2"/>
        <w:spacing w:before="60" w:after="80"/>
      </w:pPr>
      <w:r>
        <w:rPr>
          <w:rFonts w:ascii="Noto Sans CJK SC" w:hAnsi="Noto Sans CJK SC" w:eastAsia="Noto Sans CJK SC"/>
          <w:b/>
          <w:color w:val="111827"/>
          <w:sz w:val="26"/>
        </w:rPr>
        <w:t>阶段 UI-0 提示词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CJK SC"/>
                <w:color w:val="1F2937"/>
                <w:sz w:val="16"/>
              </w:rPr>
              <w:t>请基于当前仓库实现 P6-UI-0：统一页面骨架和设计系统。</w:t>
              <w:br/>
              <w:t>要求：</w:t>
              <w:br/>
              <w:t>1. 不改变现有 React/Vite/Ant Design/ECharts 技术栈。</w:t>
              <w:br/>
              <w:t>2. 先检索 BasicLayout、HeaderBar、Sidebar、PageContainer、MetricCard、SectionCard、TableCard、DetailDrawer、状态/空态组件。</w:t>
              <w:br/>
              <w:t>3. 建立或整理 design tokens：颜色、字号、间距、圆角、阴影、状态色。</w:t>
              <w:br/>
              <w:t>4. 改造左侧导航分组、顶部全局栏、PageHeader、FilterBar、KPI 网格、空态。</w:t>
              <w:br/>
              <w:t>5. 不改业务接口，不破坏现有路由。</w:t>
              <w:br/>
              <w:t>6. 完成后运行 npm build，并列出修改文件和截图检查点。</w:t>
            </w:r>
          </w:p>
        </w:tc>
      </w:tr>
    </w:tbl>
    <w:p>
      <w:pPr>
        <w:spacing w:after="40"/>
      </w:pPr>
    </w:p>
    <w:p>
      <w:pPr>
        <w:pStyle w:val="Heading2"/>
        <w:spacing w:before="60" w:after="80"/>
      </w:pPr>
      <w:r>
        <w:rPr>
          <w:rFonts w:ascii="Noto Sans CJK SC" w:hAnsi="Noto Sans CJK SC" w:eastAsia="Noto Sans CJK SC"/>
          <w:b/>
          <w:color w:val="111827"/>
          <w:sz w:val="26"/>
        </w:rPr>
        <w:t>阶段 UI-1 提示词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CJK SC"/>
                <w:color w:val="1F2937"/>
                <w:sz w:val="16"/>
              </w:rPr>
              <w:t>请实现 P6-UI-1：高价值首屏优化。</w:t>
              <w:br/>
              <w:t>范围：首页驾驶舱、数据中心总览、预测中心24小时主页面、任务中心总览。</w:t>
              <w:br/>
              <w:t>要求：</w:t>
              <w:br/>
              <w:t>1. 复用 UI-0 组件和 tokens。</w:t>
              <w:br/>
              <w:t>2. 优先使用现有 dashboardApi、dataApi、forecastApi、taskApi，不新增后端接口，除非确实无法支撑。</w:t>
              <w:br/>
              <w:t>3. 首页首屏展示供需风险、预测可信度、策略收益、报告待审、任务提醒、数据健康和 AI 建议。</w:t>
              <w:br/>
              <w:t>4. 预测24h 页面增加置信区间、低价/高风险窗口、右侧洞察和明细表。</w:t>
              <w:br/>
              <w:t>5. 任务中心必须优化空态、健康、失败重试和日志入口。</w:t>
              <w:br/>
              <w:t>6. 所有 mock/fallback/derived 数据必须显式标注。</w:t>
            </w:r>
          </w:p>
        </w:tc>
      </w:tr>
    </w:tbl>
    <w:p>
      <w:pPr>
        <w:spacing w:after="40"/>
      </w:pPr>
    </w:p>
    <w:p>
      <w:pPr>
        <w:pStyle w:val="Heading2"/>
        <w:spacing w:before="60" w:after="80"/>
      </w:pPr>
      <w:r>
        <w:rPr>
          <w:rFonts w:ascii="Noto Sans CJK SC" w:hAnsi="Noto Sans CJK SC" w:eastAsia="Noto Sans CJK SC"/>
          <w:b/>
          <w:color w:val="111827"/>
          <w:sz w:val="26"/>
        </w:rPr>
        <w:t>阶段 UI-2 提示词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CJK SC"/>
                <w:color w:val="1F2937"/>
                <w:sz w:val="16"/>
              </w:rPr>
              <w:t>请实现 P6-UI-2：可信与 AI 能力增强。</w:t>
              <w:br/>
              <w:t>范围：数据质量/目录、预测峰谷+模型评估、AI助手、知识库。</w:t>
              <w:br/>
              <w:t>要求：</w:t>
              <w:br/>
              <w:t>1. 数据质量页面突出缺失率、重复率、新鲜度、校验通过率、异常明细和目录卡片。</w:t>
              <w:br/>
              <w:t>2. 预测模型评估页面展示 baseline、schema、leakage、backtest，但不得宣称模型精度已提升。</w:t>
              <w:br/>
              <w:t>3. AI助手改为三栏结构，普通用户隐藏 Trace，右侧展示证据链。</w:t>
              <w:br/>
              <w:t>4. 知识库展示 RAG provider、embedding_dim、chunk_count、fallback/降级状态。</w:t>
              <w:br/>
              <w:t>5. 输出必须结构化：结论、数据依据、原因解释、业务建议、风险提示。</w:t>
            </w:r>
          </w:p>
        </w:tc>
      </w:tr>
    </w:tbl>
    <w:p>
      <w:pPr>
        <w:spacing w:after="40"/>
      </w:pPr>
    </w:p>
    <w:p>
      <w:pPr>
        <w:pStyle w:val="Heading2"/>
        <w:spacing w:before="60" w:after="80"/>
      </w:pPr>
      <w:r>
        <w:rPr>
          <w:rFonts w:ascii="Noto Sans CJK SC" w:hAnsi="Noto Sans CJK SC" w:eastAsia="Noto Sans CJK SC"/>
          <w:b/>
          <w:color w:val="111827"/>
          <w:sz w:val="26"/>
        </w:rPr>
        <w:t>阶段 UI-3 提示词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CJK SC"/>
                <w:color w:val="1F2937"/>
                <w:sz w:val="16"/>
              </w:rPr>
              <w:t>请实现 P6-UI-3：审批与生命周期闭环增强。</w:t>
              <w:br/>
              <w:t>范围：策略人工复核、报告审核发布、模型 Active/Candidate/回滚。</w:t>
              <w:br/>
              <w:t>要求：</w:t>
              <w:br/>
              <w:t>1. 先检查后端是否已有真实状态变更接口；没有接口时只做“待接入/演示态”，不得假装生产闭环。</w:t>
              <w:br/>
              <w:t>2. 策略复核需要待复核/已通过/已驳回/标记复核状态、批量操作、右侧证据链。</w:t>
              <w:br/>
              <w:t>3. 报告审核需要审核意见、通过、驳回、重新生成、发布归档、时间线。</w:t>
              <w:br/>
              <w:t>4. 模型中心需要准入规则、回滚确认、审计预留。</w:t>
              <w:br/>
              <w:t>5. 所有变更操作必须权限校验和审计或预留 audit 字段。</w:t>
            </w:r>
          </w:p>
        </w:tc>
      </w:tr>
    </w:tbl>
    <w:p>
      <w:pPr>
        <w:spacing w:after="40"/>
      </w:pPr>
    </w:p>
    <w:p>
      <w:pPr>
        <w:pStyle w:val="Heading2"/>
        <w:spacing w:before="60" w:after="80"/>
      </w:pPr>
      <w:r>
        <w:rPr>
          <w:rFonts w:ascii="Noto Sans CJK SC" w:hAnsi="Noto Sans CJK SC" w:eastAsia="Noto Sans CJK SC"/>
          <w:b/>
          <w:color w:val="111827"/>
          <w:sz w:val="26"/>
        </w:rPr>
        <w:t>阶段 UI-4 提示词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CJK SC"/>
                <w:color w:val="1F2937"/>
                <w:sz w:val="16"/>
              </w:rPr>
              <w:t>请实现 P6-UI-4：业务执行增强。</w:t>
              <w:br/>
              <w:t>范围：储能 SOC、执行清单、真实上一批次预测对比、策略收益回填、任务 SLA。</w:t>
              <w:br/>
              <w:t>要求：</w:t>
              <w:br/>
              <w:t>1. 不接真实设备时，储能 SOC 只能作为参数化模拟或派生展示，必须标注。</w:t>
              <w:br/>
              <w:t>2. 历史对比必须读取真实 forecast_run 历史，不能用当前预测派生上一批次。</w:t>
              <w:br/>
              <w:t>3. 任务 SLA 要展示失败聚类、耗时统计、队列分布。</w:t>
              <w:br/>
              <w:t>4. 策略执行清单需要状态持久化，刷新后不丢。</w:t>
              <w:br/>
              <w:t>5. 该阶段涉及后端表和接口，必须附迁移、测试和回滚说明。</w:t>
            </w:r>
          </w:p>
        </w:tc>
      </w:tr>
    </w:tbl>
    <w:p>
      <w:pPr>
        <w:spacing w:after="4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14. 验收与回归门禁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872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类别</w:t>
            </w:r>
          </w:p>
        </w:tc>
        <w:tc>
          <w:tcPr>
            <w:tcW w:type="dxa" w:w="5904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命令/检查项</w:t>
            </w:r>
          </w:p>
        </w:tc>
        <w:tc>
          <w:tcPr>
            <w:tcW w:type="dxa" w:w="2880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通过标准</w:t>
            </w:r>
          </w:p>
        </w:tc>
      </w:tr>
      <w:tr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前端构建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cd frontend &amp;&amp; npm run build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构建成功，无类型错误，无明显 lint 阻断。</w:t>
            </w:r>
          </w:p>
        </w:tc>
      </w:tr>
      <w:tr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页面巡检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逐页打开：首页、数据、预测、策略、AI、报告、模型、知识库、任务、系统设置。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无白屏、无横向溢出、无卡片错位、无按钮遮挡。</w:t>
            </w:r>
          </w:p>
        </w:tc>
      </w:tr>
      <w:tr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接口回归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以仓库现有 pytest / smoke 脚本为准；Codex 需先列出实际存在的测试命令。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P1/P3/P4/P5 相关回归不失败。</w:t>
            </w:r>
          </w:p>
        </w:tc>
      </w:tr>
      <w:tr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SQL 安全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运行现有只读 SQL 安全测试。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写操作、多语句、危险函数、敏感表仍被拦截。</w:t>
            </w:r>
          </w:p>
        </w:tc>
      </w:tr>
      <w:tr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RAG 健康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调用知识库 health / search / embedding refresh 相关 smoke。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RAG 状态可见，降级状态不被隐藏。</w:t>
            </w:r>
          </w:p>
        </w:tc>
      </w:tr>
      <w:tr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任务中心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检查任务创建、取消、重试、日志分页、队列健康。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P4 生命周期约束不被破坏。</w:t>
            </w:r>
          </w:p>
        </w:tc>
      </w:tr>
      <w:tr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权限安全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以 admin、analyst、viewer、developer 角色分别查看。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普通用户不显示开发者 Trace 和敏感配置。</w:t>
            </w:r>
          </w:p>
        </w:tc>
      </w:tr>
      <w:tr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审计</w:t>
            </w:r>
          </w:p>
        </w:tc>
        <w:tc>
          <w:tcPr>
            <w:tcW w:type="dxa" w:w="59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报告审核、策略复核、模型切换、配置修改。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有审计记录或明确预留字段和待接入状态。</w:t>
            </w:r>
          </w:p>
        </w:tc>
      </w:tr>
    </w:tbl>
    <w:p>
      <w:pPr>
        <w:spacing w:after="4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15. 完成标准 Checklist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所有页面继承统一 AppShell、PageHeader、FilterBar、MetricCard、SectionCard。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左侧导航完成分组并保持现有路由兼容。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首页不再是分散 Tab，而是运营驾驶舱。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数据中心总览把接入、质量、目录、导入导出统一成入口。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预测24h 页面具备低价窗口、高风险窗口、置信区间和策略洞察。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AI 助手普通用户态隐藏 Trace，回答结构化并有依据栏。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知识库明确展示 RAG provider、embedding_dim、chunk_count 和降级状态。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任务中心具备总览、健康、日志、失败重试和良好空态。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报告审核、策略复核、模型回滚的真实闭环和演示态边界清晰。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所有 mock/fallback/derived 数据显式标注。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没有伪造未部署中间件，没有放宽 SQL 安全，没有暴露密钥。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npm build 和关键回归通过，并形成阶段性 commit。</w:t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16. 推荐提交节奏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提交序号</w:t>
            </w:r>
          </w:p>
        </w:tc>
        <w:tc>
          <w:tcPr>
            <w:tcW w:type="dxa" w:w="388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提交信息</w:t>
            </w:r>
          </w:p>
        </w:tc>
        <w:tc>
          <w:tcPr>
            <w:tcW w:type="dxa" w:w="532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内容边界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feat(ui): add design tokens and shared layout primitives</w:t>
            </w:r>
          </w:p>
        </w:tc>
        <w:tc>
          <w:tcPr>
            <w:tcW w:type="dxa" w:w="53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tokens、状态色、基础组件、空态。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2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feat(ui): reorganize app shell and navigation</w:t>
            </w:r>
          </w:p>
        </w:tc>
        <w:tc>
          <w:tcPr>
            <w:tcW w:type="dxa" w:w="53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AppShell、HeaderBar、Sidebar、导航分组、顶部状态。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3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feat(dashboard): redesign overview cockpit</w:t>
            </w:r>
          </w:p>
        </w:tc>
        <w:tc>
          <w:tcPr>
            <w:tcW w:type="dxa" w:w="53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首页驾驶舱。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4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feat(data): add data overview and quality catalog layout</w:t>
            </w:r>
          </w:p>
        </w:tc>
        <w:tc>
          <w:tcPr>
            <w:tcW w:type="dxa" w:w="53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数据总览、质量目录。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5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feat(forecast): redesign 24h forecast and model trust views</w:t>
            </w:r>
          </w:p>
        </w:tc>
        <w:tc>
          <w:tcPr>
            <w:tcW w:type="dxa" w:w="53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预测24h、历史对比、峰谷/模型评估。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6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feat(assistant): add structured answer and evidence panel</w:t>
            </w:r>
          </w:p>
        </w:tc>
        <w:tc>
          <w:tcPr>
            <w:tcW w:type="dxa" w:w="53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AI助手结构化回答和证据栏。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7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feat(knowledge): unify document index and retrieval workspace</w:t>
            </w:r>
          </w:p>
        </w:tc>
        <w:tc>
          <w:tcPr>
            <w:tcW w:type="dxa" w:w="53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知识库一体化页面。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8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feat(tasks): improve task operations dashboard</w:t>
            </w:r>
          </w:p>
        </w:tc>
        <w:tc>
          <w:tcPr>
            <w:tcW w:type="dxa" w:w="53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任务中心总览、健康、日志、失败重试。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9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feat(workflow): enhance report review and strategy review views</w:t>
            </w:r>
          </w:p>
        </w:tc>
        <w:tc>
          <w:tcPr>
            <w:tcW w:type="dxa" w:w="53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报告与策略复核 UI。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10</w:t>
            </w:r>
          </w:p>
        </w:tc>
        <w:tc>
          <w:tcPr>
            <w:tcW w:type="dxa" w:w="38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feat(model): add model lifecycle governance view</w:t>
            </w:r>
          </w:p>
        </w:tc>
        <w:tc>
          <w:tcPr>
            <w:tcW w:type="dxa" w:w="53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模型中心生命周期与回滚展示。</w:t>
            </w:r>
          </w:p>
        </w:tc>
      </w:tr>
    </w:tbl>
    <w:p>
      <w:pPr>
        <w:spacing w:after="4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17. 不允许做的事情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不允许推翻当前技术栈重写前端。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不允许为了 UI 效果伪造 Kafka、Airflow、MinIO、Prometheus、ELK 等当前项目未部署组件。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不允许将 mock/fallback 数据显示为真实生产数据。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不允许在普通用户视图默认展示 Trace、工具日志、密钥、token、数据库连接串。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不允许放宽 P1 只读 SQL 安全策略。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不允许把 P2 baseline 指标包装成模型效果已大幅提升。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不允许为按钮做假交互：没有后端状态机的地方必须标注待接入。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不允许复制粘贴多个相似组件；同类 UI 出现超过两次必须抽象复用。</w:t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18. 最终交付物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72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交付物</w:t>
            </w:r>
          </w:p>
        </w:tc>
        <w:tc>
          <w:tcPr>
            <w:tcW w:type="dxa" w:w="6048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内容</w:t>
            </w:r>
          </w:p>
        </w:tc>
        <w:tc>
          <w:tcPr>
            <w:tcW w:type="dxa" w:w="2880"/>
            <w:shd w:fill="E8FF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验收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代码变更</w:t>
            </w:r>
          </w:p>
        </w:tc>
        <w:tc>
          <w:tcPr>
            <w:tcW w:type="dxa" w:w="60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前端页面、组件、样式、必要 API 客户端和后端聚合/状态接口。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commit 清晰、范围可回滚。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页面截图</w:t>
            </w:r>
          </w:p>
        </w:tc>
        <w:tc>
          <w:tcPr>
            <w:tcW w:type="dxa" w:w="60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每个优化页面至少一张桌面端截图。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与参考图方向一致，无错位。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接口说明</w:t>
            </w:r>
          </w:p>
        </w:tc>
        <w:tc>
          <w:tcPr>
            <w:tcW w:type="dxa" w:w="60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新增/调整接口、字段、fallback 标识、权限说明。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前后端字段一致。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测试记录</w:t>
            </w:r>
          </w:p>
        </w:tc>
        <w:tc>
          <w:tcPr>
            <w:tcW w:type="dxa" w:w="60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npm build、pytest/smoke、权限、安全、任务、RAG 检查。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结果附在报告或 PR 描述中。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风险清单</w:t>
            </w:r>
          </w:p>
        </w:tc>
        <w:tc>
          <w:tcPr>
            <w:tcW w:type="dxa" w:w="60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未完成的后端状态机、mock/派生字段、生产前需补项。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不得遗漏关键不确定性。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FF7"/>
            <w:tcBorders>
              <w:top w:val="single" w:sz="8" w:space="0" w:color="0FB98A"/>
              <w:left w:val="single" w:sz="8" w:space="0" w:color="0FB98A"/>
              <w:bottom w:val="single" w:sz="8" w:space="0" w:color="0FB98A"/>
              <w:right w:val="single" w:sz="8" w:space="0" w:color="0FB98A"/>
              <w:insideH w:val="single" w:sz="8" w:space="0" w:color="0FB98A"/>
              <w:insideV w:val="single" w:sz="8" w:space="0" w:color="0FB98A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FB98A"/>
                <w:sz w:val="21"/>
              </w:rPr>
              <w:t>最终结论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本轮优化应作为 P6 产品化阶段推进。优先把项目从“功能堆叠后台”改成“AI 售电交易运营决策工作台”。先统一骨架和首屏，再做可信与 AI 证据链，最后补审批、复核、模型生命周期和业务执行闭环。</w:t>
            </w:r>
          </w:p>
        </w:tc>
      </w:tr>
    </w:tbl>
    <w:p>
      <w:pPr>
        <w:spacing w:after="4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087A5B"/>
          <w:sz w:val="32"/>
        </w:rPr>
        <w:t>19. 可直接复制给 Codex 的总提示词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CJK SC"/>
                <w:color w:val="1F2937"/>
                <w:sz w:val="16"/>
              </w:rPr>
              <w:t>请基于当前仓库和本 Word 方案执行 P6 UI 与功能排版优化。</w:t>
              <w:br/>
              <w:br/>
              <w:t>执行边界：</w:t>
              <w:br/>
              <w:t>- 不推翻当前 React 18 + TypeScript + Vite + Ant Design + ECharts + FastAPI + PostgreSQL + Redis/Celery 技术栈。</w:t>
              <w:br/>
              <w:t>- 优先复用现有 BasicLayout、HeaderBar、Sidebar、PageContainer、MetricCard、SectionCard、TableCard、DetailDrawer、dataApi、forecastApi、strategyApi、assistantApi、reportApi、modelApi、knowledgeApi、taskApi、settingsApi。</w:t>
              <w:br/>
              <w:t>- 所有页面必须统一设计 token、布局骨架、状态色、空态和数据源标签。</w:t>
              <w:br/>
              <w:t>- 所有 mock/fallback/derived 数据必须显式展示，不能让用户误判为真实生产数据。</w:t>
              <w:br/>
              <w:t>- 不允许放宽只读 SQL 安全；不允许隐藏 RAG 降级；不允许伪造未部署中间件。</w:t>
              <w:br/>
              <w:br/>
              <w:t>执行顺序：</w:t>
              <w:br/>
              <w:t>1. UI-0：统一 AppShell、导航、顶部栏、PageHeader、FilterBar、MetricCard、状态标签和空态。</w:t>
              <w:br/>
              <w:t>2. UI-1：重做首页驾驶舱、数据总览、预测24小时、任务中心总览。</w:t>
              <w:br/>
              <w:t>3. UI-2：重做数据质量/目录、预测峰谷+模型评估、AI助手、知识库。</w:t>
              <w:br/>
              <w:t>4. UI-3：补报告审核发布、策略人工复核、模型生命周期；没有后端状态机时只做待接入态。</w:t>
              <w:br/>
              <w:t>5. UI-4：补储能 SOC、执行清单、真实历史对比、策略收益回填、任务 SLA。</w:t>
              <w:br/>
              <w:br/>
              <w:t>每阶段交付：</w:t>
              <w:br/>
              <w:t>- 修改文件清单。</w:t>
              <w:br/>
              <w:t>- 页面截图或截图说明。</w:t>
              <w:br/>
              <w:t>- 新增/复用接口说明。</w:t>
              <w:br/>
              <w:t>- npm build 与相关测试结果。</w:t>
              <w:br/>
              <w:t>- 风险与未完成项。</w:t>
              <w:br/>
              <w:t>- 独立 git commit。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4748B"/>
        <w:sz w:val="16"/>
      </w:rPr>
      <w:t>智能运营分析项目 P6 UI 优化落地方案 | Codex 开发执行版 | v20260622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87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