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Quem sou eu?</w:t>
      </w:r>
    </w:p>
    <w:p>
      <w:pPr>
        <w:pStyle w:val="Heading2"/>
        <w:jc w:val="center"/>
      </w:pPr>
      <w:r>
        <w:t>Como descobrir minha vocação?</w:t>
      </w:r>
    </w:p>
    <w:p>
      <w:pPr>
        <w:pStyle w:val="IntenseQuote"/>
        <w:spacing w:after="160"/>
      </w:pPr>
      <w:r>
        <w:t>Um guia direto e acolhedor para quem está confuso sobre o futuro</w:t>
      </w:r>
    </w:p>
    <w:p>
      <w:pPr>
        <w:pStyle w:val="Quote"/>
        <w:spacing w:after="160"/>
      </w:pPr>
      <w:r>
        <w:t>Autor: Prof. Wanderley Gazeta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spacing w:after="160"/>
      </w:pPr>
      <w:r>
        <w:t>Este sumário será gerado automaticamente na versão final.</w:t>
      </w:r>
    </w:p>
    <w:p>
      <w:r>
        <w:br w:type="page"/>
      </w:r>
    </w:p>
    <w:p>
      <w:pPr>
        <w:pStyle w:val="Heading1"/>
        <w:jc w:val="center"/>
      </w:pPr>
      <w:r>
        <w:t>1. O PESO DE ESCOLHER</w:t>
      </w:r>
    </w:p>
    <w:p>
      <w:pPr>
        <w:spacing w:after="160"/>
      </w:pPr>
      <w: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  <w:br/>
        <w:br/>
        <w:t>Mas a verdade é que muita gente se sente perdida. E tá tudo bem. O problema é não fazer nada com isso.</w:t>
        <w:br/>
        <w:t>Na verdade, não está bem, não! 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r>
        <w:br w:type="page"/>
      </w:r>
    </w:p>
    <w:sectPr w:rsidR="00FC693F" w:rsidRPr="0006063C" w:rsidSect="00034616">
      <w:pgSz w:w="8390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