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ítulo1"/>
      </w:pPr>
      <w:r>
        <w:t>2. O QUE É VOCAÇÃO (DE VERDADE)</w:t>
      </w:r>
    </w:p>
    <w:p>
      <w:pPr/>
      <w:r>
        <w:t>Muita gente imagina que vocação é um “dom mágico” com o qual a pessoa já nasce sabendo o que vai ser. Isso pode até acontecer em alguns casos raros. Porém, a realidade é bem diferente: muitas pessoas nunca chegam a descobrir sua verdadeira vocação. Algumas se adaptam, outras apenas sobrevivem no que fazem — e não é raro que se sintam frustradas, desvalorizadas ou inferiores por não terem sucesso profissional ou acadêmico.</w:t>
        <w:br/>
        <w:br/>
        <w:t>Por isso, falar sobre vocação é também uma forma de acolher quem se sente perdido, mostrar que ainda há caminhos e que a descoberta pode acontecer com autoconhecimento, vivência e reflexão. E mais: a vocação não precisa estar ligada a um diploma universitário. Ela pode florescer também por meio de habilidades práticas, criatividade, sensibilidade e empreendedorismo.</w:t>
        <w:br/>
        <w:br/>
        <w:t>Você pode começar refletindo sobre estes quatro aspectos: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  <w:br/>
        <w:br/>
        <w:t>Quanto mais esses quatro elementos estiverem presentes em uma mesma atividade, mais chances você tem de estar no caminho da sua verdadeira vocação.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fe775e-0fd7-4e88-821d-a036e2fe948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1">
    <w:name w:val="Título 1"/>
    <w:rPr>
      <w:rFonts w:ascii="Avenir Next LT Pro" w:hAnsi="Avenir Next LT Pro"/>
      <w:b/>
      <w:sz w:val="44"/>
    </w:rPr>
  </w:style>
  <w:style w:type="paragraph" w:customStyle="1" w:styleId="Título2">
    <w:name w:val="Título 2"/>
    <w:rPr>
      <w:rFonts w:ascii="Avenir Next LT Pro" w:hAnsi="Avenir Next LT Pro"/>
      <w:b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