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</w:rPr>
        <w:t>第四阶段技能题</w:t>
      </w:r>
    </w:p>
    <w:p>
      <w:pPr>
        <w:jc w:val="left"/>
        <w:rPr>
          <w:rFonts w:hint="eastAsia" w:asciiTheme="minorEastAsia" w:hAnsiTheme="minorEastAsia"/>
          <w:b/>
          <w:sz w:val="36"/>
          <w:szCs w:val="36"/>
          <w:lang w:val="en-US" w:eastAsia="zh-CN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三</w:t>
      </w:r>
      <w:r>
        <w:rPr>
          <w:rFonts w:hint="eastAsia" w:asciiTheme="minorEastAsia" w:hAnsiTheme="minorEastAsia"/>
          <w:b/>
          <w:sz w:val="36"/>
          <w:szCs w:val="36"/>
        </w:rPr>
        <w:t xml:space="preserve">天  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图书管理系统项目(一)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根据八怪网首页提供的接口完成首页的功能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41941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9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通过Deployd完成图书管理的登陆与注册功能。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74D0"/>
    <w:multiLevelType w:val="singleLevel"/>
    <w:tmpl w:val="599F74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2422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tydte</dc:creator>
  <cp:lastModifiedBy>tydte</cp:lastModifiedBy>
  <dcterms:modified xsi:type="dcterms:W3CDTF">2017-08-25T00:45:01Z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