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第四阶段技能题</w:t>
      </w:r>
    </w:p>
    <w:p>
      <w:pPr>
        <w:jc w:val="left"/>
        <w:rPr>
          <w:rFonts w:hint="eastAsia" w:asciiTheme="minorEastAsia" w:hAnsiTheme="minorEastAsia"/>
          <w:b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六</w:t>
      </w:r>
      <w:r>
        <w:rPr>
          <w:rFonts w:hint="eastAsia" w:asciiTheme="minorEastAsia" w:hAnsiTheme="minorEastAsia"/>
          <w:b/>
          <w:sz w:val="36"/>
          <w:szCs w:val="36"/>
        </w:rPr>
        <w:t>天  gulp构建工具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通过gulp构建工具完成对慕课网的首页部分功能。数据通过接口来进行调取。</w:t>
      </w:r>
      <w:bookmarkStart w:id="0" w:name="_GoBack"/>
      <w:bookmarkEnd w:id="0"/>
    </w:p>
    <w:p/>
    <w:p>
      <w:r>
        <w:drawing>
          <wp:inline distT="0" distB="0" distL="114300" distR="114300">
            <wp:extent cx="5268595" cy="2156460"/>
            <wp:effectExtent l="0" t="0" r="825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74D0"/>
    <w:multiLevelType w:val="singleLevel"/>
    <w:tmpl w:val="599F74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97C6F"/>
    <w:rsid w:val="5D545318"/>
    <w:rsid w:val="7EC83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2017-08-25T00:53:30Z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