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boundary fixture</w:t>
      </w:r>
    </w:p>
    <w:p>
      <w:r>
        <w:t>Synthetic/Fake knowledge fixture. Never use for real business.</w:t>
        <w:br/>
        <w:t>evidence_anchor:anchor-logistics-00014</w:t>
        <w:br/>
        <w:t>Rule SYN-PHYSICAL-001 applies only to this deterministic test dataset.</w:t>
        <w:br/>
        <w:t>BOUNDARY: unicode=中文/emoji-not-required; table=100x1; long=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Synthetic/Fake fixture</dc:title>
  <dc:subject/>
  <dc:creator>python-docx</dc:creator>
  <cp:keywords/>
  <dc:description>generated by python-docx</dc:description>
  <cp:lastModifiedBy>graphrag-data-factory</cp:lastModifiedBy>
  <cp:revision>1</cp:revision>
  <dcterms:created xsi:type="dcterms:W3CDTF">2025-01-01T00:00:00Z</dcterms:created>
  <dcterms:modified xsi:type="dcterms:W3CDTF">2025-01-01T00:00:00Z</dcterms:modified>
  <cp:category/>
</cp:coreProperties>
</file>