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3659"/>
        <w:gridCol w:w="3659"/>
        <w:gridCol w:w="3659"/>
      </w:tblGrid>
      <w:tr>
        <w:tc>
          <w:tcPr>
            <w:tcW w:type="dxa" w:w="3458"/>
            <w:tcMar>
              <w:top w:w="15" w:type="dxa"/>
              <w:start w:w="0" w:type="dxa"/>
              <w:bottom w:w="15" w:type="dxa"/>
              <w:end w:w="0" w:type="dxa"/>
            </w:tcMar>
          </w:tcPr>
        </w:tc>
        <w:tc>
          <w:tcPr>
            <w:tcW w:type="dxa" w:w="2834"/>
            <w:tcMar>
              <w:top w:w="15" w:type="dxa"/>
              <w:start w:w="0" w:type="dxa"/>
              <w:bottom w:w="15" w:type="dxa"/>
              <w:end w:w="0" w:type="dxa"/>
            </w:tcMar>
            <w:shd w:fill="2F3B4A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4"/>
              </w:rPr>
              <w:t xml:space="preserve">  </w:t>
            </w:r>
          </w:p>
        </w:tc>
        <w:tc>
          <w:tcPr>
            <w:tcW w:type="dxa" w:w="3458"/>
            <w:tcMar>
              <w:top w:w="15" w:type="dxa"/>
              <w:start w:w="0" w:type="dxa"/>
              <w:bottom w:w="15" w:type="dxa"/>
              <w:end w:w="0" w:type="dxa"/>
            </w:tcMar>
          </w:tcPr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88"/>
        <w:gridCol w:w="5488"/>
      </w:tblGrid>
      <w:tr>
        <w:tc>
          <w:tcPr>
            <w:tcW w:type="dxa" w:w="2437"/>
            <w:tcMar>
              <w:top w:w="70" w:type="dxa"/>
              <w:start w:w="130" w:type="dxa"/>
              <w:bottom w:w="80" w:type="dxa"/>
              <w:end w:w="130" w:type="dxa"/>
            </w:tcMar>
            <w:vAlign w:val="center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10" w:color="2F3B4A"/>
                <w:left w:val="single" w:sz="10" w:color="2F3B4A"/>
                <w:bottom w:val="single" w:sz="10" w:color="2F3B4A"/>
                <w:right w:val="single" w:sz="10" w:color="2F3B4A"/>
                <w:insideH w:val="single" w:sz="10" w:color="2F3B4A"/>
                <w:insideV w:val="single" w:sz="10" w:color="2F3B4A"/>
              </w:tblBorders>
            </w:tblPr>
            <w:tblGrid>
              <w:gridCol w:w="2437"/>
            </w:tblGrid>
            <w:tr>
              <w:tc>
                <w:tcPr>
                  <w:tcW w:type="dxa" w:w="1757"/>
                  <w:tcMar>
                    <w:top w:w="620" w:type="dxa"/>
                    <w:start w:w="80" w:type="dxa"/>
                    <w:bottom w:w="620" w:type="dxa"/>
                    <w:end w:w="8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666666"/>
                      <w:sz w:val="18"/>
                    </w:rPr>
                    <w:t>证件照</w:t>
                  </w:r>
                </w:p>
              </w:tc>
            </w:tr>
          </w:tbl>
          <w:p/>
          <w:p>
            <w:pPr>
              <w:spacing w:after="0"/>
            </w:pPr>
          </w:p>
        </w:tc>
        <w:tc>
          <w:tcPr>
            <w:tcW w:type="dxa" w:w="7653"/>
            <w:tcMar>
              <w:top w:w="7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before="0" w:after="160" w:line="259" w:lineRule="auto"/>
            </w:pPr>
            <w:r>
              <w:rPr>
                <w:rFonts w:ascii="Microsoft YaHei" w:hAnsi="Microsoft YaHei" w:eastAsia="Microsoft YaHei"/>
                <w:b/>
                <w:color w:val="4A4A4A"/>
                <w:sz w:val="30"/>
              </w:rPr>
              <w:t>王玉隆 | Java 后端开发实习生</w:t>
            </w:r>
          </w:p>
          <w:p>
            <w:pPr>
              <w:spacing w:before="0" w:after="100" w:line="259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22"/>
              </w:rPr>
              <w:t>电话：182-3862-1630</w:t>
            </w:r>
          </w:p>
          <w:p>
            <w:pPr>
              <w:spacing w:before="0" w:after="100" w:line="259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22"/>
              </w:rPr>
              <w:t>邮箱：3295791762@qq.com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20"/>
              </w:rPr>
              <w:t>求职意向：Java 后端开发 / 后端开发实习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88"/>
        <w:gridCol w:w="5488"/>
      </w:tblGrid>
      <w:tr>
        <w:tc>
          <w:tcPr>
            <w:tcW w:type="dxa" w:w="209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2F3B4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专业技能</w:t>
            </w:r>
          </w:p>
        </w:tc>
        <w:tc>
          <w:tcPr>
            <w:tcW w:type="dxa" w:w="810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1F3F5"/>
          </w:tcPr>
        </w:tc>
      </w:tr>
    </w:tbl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1. </w:t>
      </w:r>
      <w:r>
        <w:rPr>
          <w:rFonts w:ascii="Microsoft YaHei" w:hAnsi="Microsoft YaHei" w:eastAsia="Microsoft YaHei"/>
          <w:b w:val="0"/>
          <w:color w:val="4A4A4A"/>
          <w:sz w:val="18"/>
        </w:rPr>
        <w:t>Java：熟悉 Java 基础、面向对象、集合框架、异常处理，了解多线程基础使用场景。</w:t>
      </w:r>
    </w:p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2. </w:t>
      </w:r>
      <w:r>
        <w:rPr>
          <w:rFonts w:ascii="Microsoft YaHei" w:hAnsi="Microsoft YaHei" w:eastAsia="Microsoft YaHei"/>
          <w:b w:val="0"/>
          <w:color w:val="4A4A4A"/>
          <w:sz w:val="18"/>
        </w:rPr>
        <w:t>Spring Boot / Spring MVC：熟悉分层开发、RESTful 接口、参数校验、全局异常处理和统一响应封装。</w:t>
      </w:r>
    </w:p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3. </w:t>
      </w:r>
      <w:r>
        <w:rPr>
          <w:rFonts w:ascii="Microsoft YaHei" w:hAnsi="Microsoft YaHei" w:eastAsia="Microsoft YaHei"/>
          <w:b w:val="0"/>
          <w:color w:val="4A4A4A"/>
          <w:sz w:val="18"/>
        </w:rPr>
        <w:t>MyBatis / MyBatis-Plus / MySQL：了解 ORM 原理，能完成常见 CRUD、Mapper 设计、索引与事务相关开发。</w:t>
      </w:r>
    </w:p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4. </w:t>
      </w:r>
      <w:r>
        <w:rPr>
          <w:rFonts w:ascii="Microsoft YaHei" w:hAnsi="Microsoft YaHei" w:eastAsia="Microsoft YaHei"/>
          <w:b w:val="0"/>
          <w:color w:val="4A4A4A"/>
          <w:sz w:val="18"/>
        </w:rPr>
        <w:t>Redis / SSE：了解 Redis 热点数据缓存场景，掌握 Server-Sent Events 流式推送在前后端交互中的使用。</w:t>
      </w:r>
    </w:p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5. </w:t>
      </w:r>
      <w:r>
        <w:rPr>
          <w:rFonts w:ascii="Microsoft YaHei" w:hAnsi="Microsoft YaHei" w:eastAsia="Microsoft YaHei"/>
          <w:b w:val="0"/>
          <w:color w:val="4A4A4A"/>
          <w:sz w:val="18"/>
        </w:rPr>
        <w:t>AI 工程实践：了解 Agent Workflow、Tool Calling、RAG 检索、结构化 JSON 输出和学习记忆设计。</w:t>
      </w:r>
    </w:p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6. </w:t>
      </w:r>
      <w:r>
        <w:rPr>
          <w:rFonts w:ascii="Microsoft YaHei" w:hAnsi="Microsoft YaHei" w:eastAsia="Microsoft YaHei"/>
          <w:b w:val="0"/>
          <w:color w:val="4A4A4A"/>
          <w:sz w:val="18"/>
        </w:rPr>
        <w:t>其他：熟悉 Git、Maven、Linux 常用命令，了解 Next.js、Tailwind CSS、Docker Compose 基础使用。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88"/>
        <w:gridCol w:w="5488"/>
      </w:tblGrid>
      <w:tr>
        <w:tc>
          <w:tcPr>
            <w:tcW w:type="dxa" w:w="209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2F3B4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项目经历</w:t>
            </w:r>
          </w:p>
        </w:tc>
        <w:tc>
          <w:tcPr>
            <w:tcW w:type="dxa" w:w="810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1F3F5"/>
          </w:tcPr>
        </w:tc>
      </w:tr>
    </w:tbl>
    <w:p>
      <w:pPr>
        <w:spacing w:after="40" w:line="259" w:lineRule="auto"/>
        <w:ind w:left="142"/>
      </w:pPr>
      <w:r>
        <w:rPr>
          <w:rFonts w:ascii="Microsoft YaHei" w:hAnsi="Microsoft YaHei" w:eastAsia="Microsoft YaHei"/>
          <w:b/>
          <w:color w:val="4A4A4A"/>
          <w:sz w:val="17"/>
        </w:rPr>
        <w:t>项目名称：</w:t>
      </w:r>
      <w:r>
        <w:rPr>
          <w:rFonts w:ascii="Microsoft YaHei" w:hAnsi="Microsoft YaHei" w:eastAsia="Microsoft YaHei"/>
          <w:b w:val="0"/>
          <w:color w:val="4A4A4A"/>
          <w:sz w:val="17"/>
        </w:rPr>
        <w:t>AI Interview Coach Agent：基于 Agent 工作流的 Java 面试训练与代码诊断系统</w:t>
      </w:r>
    </w:p>
    <w:p>
      <w:pPr>
        <w:spacing w:after="40" w:line="259" w:lineRule="auto"/>
        <w:ind w:left="142"/>
      </w:pPr>
      <w:r>
        <w:rPr>
          <w:rFonts w:ascii="Microsoft YaHei" w:hAnsi="Microsoft YaHei" w:eastAsia="Microsoft YaHei"/>
          <w:b/>
          <w:color w:val="4A4A4A"/>
          <w:sz w:val="17"/>
        </w:rPr>
        <w:t>项目时间：</w:t>
      </w:r>
      <w:r>
        <w:rPr>
          <w:rFonts w:ascii="Microsoft YaHei" w:hAnsi="Microsoft YaHei" w:eastAsia="Microsoft YaHei"/>
          <w:b w:val="0"/>
          <w:color w:val="4A4A4A"/>
          <w:sz w:val="17"/>
        </w:rPr>
        <w:t>2026.05 - 至今</w:t>
      </w:r>
    </w:p>
    <w:p>
      <w:pPr>
        <w:spacing w:after="40" w:line="259" w:lineRule="auto"/>
        <w:ind w:left="142"/>
      </w:pPr>
      <w:r>
        <w:rPr>
          <w:rFonts w:ascii="Microsoft YaHei" w:hAnsi="Microsoft YaHei" w:eastAsia="Microsoft YaHei"/>
          <w:b/>
          <w:color w:val="4A4A4A"/>
          <w:sz w:val="17"/>
        </w:rPr>
        <w:t>项目技术：</w:t>
      </w:r>
      <w:r>
        <w:rPr>
          <w:rFonts w:ascii="Microsoft YaHei" w:hAnsi="Microsoft YaHei" w:eastAsia="Microsoft YaHei"/>
          <w:b w:val="0"/>
          <w:color w:val="4A4A4A"/>
          <w:sz w:val="17"/>
        </w:rPr>
        <w:t>Spring Boot 3、Java 17、MyBatis-Plus、MySQL、Redis、SSE、Next.js 14、Piston API、大模型 API</w:t>
      </w:r>
    </w:p>
    <w:p>
      <w:pPr>
        <w:spacing w:after="40" w:line="259" w:lineRule="auto"/>
        <w:ind w:left="142"/>
      </w:pPr>
      <w:r>
        <w:rPr>
          <w:rFonts w:ascii="Microsoft YaHei" w:hAnsi="Microsoft YaHei" w:eastAsia="Microsoft YaHei"/>
          <w:b/>
          <w:color w:val="4A4A4A"/>
          <w:sz w:val="17"/>
        </w:rPr>
        <w:t>项目描述：</w:t>
      </w:r>
      <w:r>
        <w:rPr>
          <w:rFonts w:ascii="Microsoft YaHei" w:hAnsi="Microsoft YaHei" w:eastAsia="Microsoft YaHei"/>
          <w:b w:val="0"/>
          <w:color w:val="4A4A4A"/>
          <w:sz w:val="17"/>
        </w:rPr>
        <w:t>面向 Java 后端面试训练的代码诊断系统，围绕“代码提交 -&gt; 执行观察 -&gt; RAG 检索 -&gt; AI 诊断/代码评审 -&gt; 弱点记忆 -&gt; 训练计划”构建可解释 Agent 闭环。</w:t>
      </w:r>
    </w:p>
    <w:p>
      <w:pPr>
        <w:spacing w:after="40" w:line="259" w:lineRule="auto"/>
        <w:ind w:left="142"/>
      </w:pPr>
      <w:r>
        <w:rPr>
          <w:rFonts w:ascii="Microsoft YaHei" w:hAnsi="Microsoft YaHei" w:eastAsia="Microsoft YaHei"/>
          <w:b/>
          <w:color w:val="4A4A4A"/>
          <w:sz w:val="17"/>
        </w:rPr>
        <w:t>个人职责：</w:t>
      </w:r>
      <w:r>
        <w:rPr>
          <w:rFonts w:ascii="Microsoft YaHei" w:hAnsi="Microsoft YaHei" w:eastAsia="Microsoft YaHei"/>
          <w:b w:val="0"/>
          <w:color w:val="4A4A4A"/>
          <w:sz w:val="17"/>
        </w:rPr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参与后端核心链路开发，按 Controller、Service、Agent Tool、Mapper 分层组织提交、判题、诊断和训练计划逻辑。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封装 Java Solution 模式代码执行流程，保留用户原始代码，并通过 CodeWrapper 适配 Two Sum、反转链表、买卖股票等 Hot100 题型。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设计 Agent 工作流：Planner -&gt; CodeExecutionTool -&gt; Observation -&gt; RagRetrieveTool -&gt; ErrorClassifierTool / CodeReviewTool -&gt; WeaknessTrackerTool -&gt; TrainingPlannerTool。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实现 MySQL 结构化 RAG V1，索引题目、知识卡片、历史诊断和错题卡，并在检索条件中隔离 user_id，避免用户学习记忆串读。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实现 SSE 诊断流，前端通过 ReadableStream 展示 AgentStep，支持代码执行、RAG 检索、错误分类、弱点更新、训练计划等步骤实时展示。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建设学习记忆闭环：失败提交生成 AI 诊断、弱点事件、错题卡和训练计划；Accepted 提交进入轻量代码评审分支，输出复杂度和面试表达建议。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使用 Redis 缓存题目列表、题目详情和代码模板，MySQL 负责提交、诊断、弱点、错题卡、训练计划等持久化学习数据。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88"/>
        <w:gridCol w:w="5488"/>
      </w:tblGrid>
      <w:tr>
        <w:tc>
          <w:tcPr>
            <w:tcW w:type="dxa" w:w="209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2F3B4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工作经历</w:t>
            </w:r>
          </w:p>
        </w:tc>
        <w:tc>
          <w:tcPr>
            <w:tcW w:type="dxa" w:w="810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1F3F5"/>
          </w:tcPr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3659"/>
        <w:gridCol w:w="3659"/>
        <w:gridCol w:w="3659"/>
      </w:tblGrid>
      <w:tr>
        <w:tc>
          <w:tcPr>
            <w:tcW w:type="dxa" w:w="2834"/>
            <w:tcMar>
              <w:top w:w="30" w:type="dxa"/>
              <w:start w:w="100" w:type="dxa"/>
              <w:bottom w:w="25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2025.06 - 2025.08</w:t>
            </w:r>
          </w:p>
        </w:tc>
        <w:tc>
          <w:tcPr>
            <w:tcW w:type="dxa" w:w="3968"/>
            <w:tcMar>
              <w:top w:w="30" w:type="dxa"/>
              <w:start w:w="100" w:type="dxa"/>
              <w:bottom w:w="2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科大讯飞</w:t>
            </w:r>
          </w:p>
        </w:tc>
        <w:tc>
          <w:tcPr>
            <w:tcW w:type="dxa" w:w="3174"/>
            <w:tcMar>
              <w:top w:w="30" w:type="dxa"/>
              <w:start w:w="100" w:type="dxa"/>
              <w:bottom w:w="25" w:type="dxa"/>
              <w:end w:w="100" w:type="dxa"/>
            </w:tcMar>
          </w:tcPr>
          <w:p>
            <w:pPr>
              <w:spacing w:before="0" w:after="0" w:line="259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产品运营实习生</w:t>
            </w:r>
          </w:p>
        </w:tc>
      </w:tr>
    </w:tbl>
    <w:p>
      <w:pPr>
        <w:spacing w:after="40" w:line="254" w:lineRule="auto"/>
        <w:ind w:left="425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使用公司内部后台管理系统，负责数据审核、修改与录入，保证业务数据准确性。</w:t>
      </w:r>
    </w:p>
    <w:p>
      <w:pPr>
        <w:spacing w:after="40" w:line="254" w:lineRule="auto"/>
        <w:ind w:left="425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收集教师与学生在系统使用过程中的问题，整理登录、权限、课程配置等反馈并同步技术团队。</w:t>
      </w:r>
    </w:p>
    <w:p>
      <w:pPr>
        <w:spacing w:after="40" w:line="254" w:lineRule="auto"/>
        <w:ind w:left="425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在实际业务场景中理解后台系统功能设计、业务流程和跨角色协作方式。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88"/>
        <w:gridCol w:w="5488"/>
      </w:tblGrid>
      <w:tr>
        <w:tc>
          <w:tcPr>
            <w:tcW w:type="dxa" w:w="209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2F3B4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教育经历</w:t>
            </w:r>
          </w:p>
        </w:tc>
        <w:tc>
          <w:tcPr>
            <w:tcW w:type="dxa" w:w="810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1F3F5"/>
          </w:tcPr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2744"/>
        <w:gridCol w:w="2744"/>
        <w:gridCol w:w="2744"/>
        <w:gridCol w:w="2744"/>
      </w:tblGrid>
      <w:tr>
        <w:tc>
          <w:tcPr>
            <w:tcW w:type="dxa" w:w="2721"/>
            <w:tcMar>
              <w:top w:w="45" w:type="dxa"/>
              <w:start w:w="90" w:type="dxa"/>
              <w:bottom w:w="4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2023.09 - 2027.06</w:t>
            </w:r>
          </w:p>
        </w:tc>
        <w:tc>
          <w:tcPr>
            <w:tcW w:type="dxa" w:w="2551"/>
            <w:tcMar>
              <w:top w:w="45" w:type="dxa"/>
              <w:start w:w="90" w:type="dxa"/>
              <w:bottom w:w="4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信阳学院</w:t>
            </w:r>
          </w:p>
        </w:tc>
        <w:tc>
          <w:tcPr>
            <w:tcW w:type="dxa" w:w="3174"/>
            <w:tcMar>
              <w:top w:w="45" w:type="dxa"/>
              <w:start w:w="90" w:type="dxa"/>
              <w:bottom w:w="4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计算机科学与技术</w:t>
            </w:r>
          </w:p>
        </w:tc>
        <w:tc>
          <w:tcPr>
            <w:tcW w:type="dxa" w:w="1587"/>
            <w:tcMar>
              <w:top w:w="45" w:type="dxa"/>
              <w:start w:w="90" w:type="dxa"/>
              <w:bottom w:w="40" w:type="dxa"/>
              <w:end w:w="90" w:type="dxa"/>
            </w:tcMar>
          </w:tcPr>
          <w:p>
            <w:pPr>
              <w:spacing w:before="0" w:after="0" w:line="259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本科</w:t>
            </w:r>
          </w:p>
        </w:tc>
      </w:tr>
    </w:tbl>
    <w:sectPr w:rsidR="00FC693F" w:rsidRPr="0006063C" w:rsidSect="00034616">
      <w:pgSz w:w="11906" w:h="16838"/>
      <w:pgMar w:top="408" w:right="465" w:bottom="408" w:left="465" w:header="720" w:footer="720" w:gutter="0"/>
      <w:cols w:space="720"/>
      <w:docGrid w:linePitch="360"/>
      <w:pgBorders w:offsetFrom="page">
        <w:top w:val="single" w:sz="12" w:space="18" w:color="2F3B4A"/>
        <w:left w:val="single" w:sz="12" w:space="18" w:color="2F3B4A"/>
        <w:bottom w:val="single" w:sz="12" w:space="18" w:color="2F3B4A"/>
        <w:right w:val="single" w:sz="12" w:space="18" w:color="2F3B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