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line="276" w:lineRule="auto"/>
        <w:jc w:val="center"/>
        <w:rPr>
          <w:rFonts w:ascii="Helvetica Neue" w:cs="Helvetica Neue" w:eastAsia="Helvetica Neue" w:hAnsi="Helvetica Neue"/>
          <w:b w:val="1"/>
          <w:color w:val="000000"/>
          <w:sz w:val="22"/>
          <w:szCs w:val="22"/>
          <w:highlight w:val="white"/>
          <w:u w:val="single"/>
        </w:rPr>
      </w:pPr>
      <w:r w:rsidDel="00000000" w:rsidR="00000000" w:rsidRPr="00000000">
        <w:rPr>
          <w:rFonts w:ascii="Helvetica Neue" w:cs="Helvetica Neue" w:eastAsia="Helvetica Neue" w:hAnsi="Helvetica Neue"/>
          <w:b w:val="1"/>
          <w:color w:val="000000"/>
          <w:sz w:val="22"/>
          <w:szCs w:val="22"/>
          <w:highlight w:val="white"/>
          <w:u w:val="single"/>
          <w:rtl w:val="0"/>
        </w:rPr>
        <w:t xml:space="preserve">Mikal Tang  MCIM  BA (Hon’s)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line="276" w:lineRule="auto"/>
        <w:jc w:val="center"/>
        <w:rPr>
          <w:rFonts w:ascii="Helvetica Neue" w:cs="Helvetica Neue" w:eastAsia="Helvetica Neue" w:hAnsi="Helvetica Neue"/>
          <w:b w:val="1"/>
          <w:color w:val="000000"/>
          <w:sz w:val="22"/>
          <w:szCs w:val="22"/>
          <w:highlight w:val="white"/>
        </w:rPr>
      </w:pPr>
      <w:r w:rsidDel="00000000" w:rsidR="00000000" w:rsidRPr="00000000">
        <w:rPr>
          <w:rFonts w:ascii="Helvetica Neue" w:cs="Helvetica Neue" w:eastAsia="Helvetica Neue" w:hAnsi="Helvetica Neue"/>
          <w:b w:val="1"/>
          <w:color w:val="000000"/>
          <w:sz w:val="22"/>
          <w:szCs w:val="22"/>
          <w:highlight w:val="white"/>
          <w:rtl w:val="0"/>
        </w:rPr>
        <w:t xml:space="preserve">M: 07958 956 793 / E: </w:t>
      </w:r>
      <w:hyperlink r:id="rId6">
        <w:r w:rsidDel="00000000" w:rsidR="00000000" w:rsidRPr="00000000">
          <w:rPr>
            <w:rFonts w:ascii="Helvetica Neue" w:cs="Helvetica Neue" w:eastAsia="Helvetica Neue" w:hAnsi="Helvetica Neue"/>
            <w:b w:val="1"/>
            <w:color w:val="000000"/>
            <w:sz w:val="22"/>
            <w:szCs w:val="22"/>
            <w:highlight w:val="white"/>
            <w:u w:val="single"/>
            <w:rtl w:val="0"/>
          </w:rPr>
          <w:t xml:space="preserve">mikaltang@gmail.com</w:t>
        </w:r>
      </w:hyperlink>
      <w:r w:rsidDel="00000000" w:rsidR="00000000" w:rsidRPr="00000000">
        <w:rPr>
          <w:rFonts w:ascii="Helvetica Neue" w:cs="Helvetica Neue" w:eastAsia="Helvetica Neue" w:hAnsi="Helvetica Neue"/>
          <w:b w:val="1"/>
          <w:color w:val="000000"/>
          <w:sz w:val="22"/>
          <w:szCs w:val="22"/>
          <w:highlight w:val="white"/>
          <w:rtl w:val="0"/>
        </w:rPr>
        <w:t xml:space="preserve"> / </w:t>
      </w:r>
      <w:r w:rsidDel="00000000" w:rsidR="00000000" w:rsidRPr="00000000">
        <w:rPr>
          <w:rFonts w:ascii="Helvetica Neue" w:cs="Helvetica Neue" w:eastAsia="Helvetica Neue" w:hAnsi="Helvetica Neue"/>
          <w:b w:val="1"/>
          <w:sz w:val="22"/>
          <w:szCs w:val="22"/>
          <w:highlight w:val="white"/>
          <w:rtl w:val="0"/>
        </w:rPr>
        <w:t xml:space="preserve">Located</w:t>
      </w:r>
      <w:r w:rsidDel="00000000" w:rsidR="00000000" w:rsidRPr="00000000">
        <w:rPr>
          <w:rFonts w:ascii="Helvetica Neue" w:cs="Helvetica Neue" w:eastAsia="Helvetica Neue" w:hAnsi="Helvetica Neue"/>
          <w:b w:val="1"/>
          <w:color w:val="000000"/>
          <w:sz w:val="22"/>
          <w:szCs w:val="22"/>
          <w:highlight w:val="white"/>
          <w:rtl w:val="0"/>
        </w:rPr>
        <w:t xml:space="preserve">: London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sz w:val="22"/>
          <w:szCs w:val="22"/>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sz w:val="22"/>
          <w:szCs w:val="22"/>
          <w:highlight w:val="white"/>
          <w:u w:val="single"/>
        </w:rPr>
      </w:pPr>
      <w:r w:rsidDel="00000000" w:rsidR="00000000" w:rsidRPr="00000000">
        <w:rPr>
          <w:rFonts w:ascii="Helvetica Neue" w:cs="Helvetica Neue" w:eastAsia="Helvetica Neue" w:hAnsi="Helvetica Neue"/>
          <w:b w:val="1"/>
          <w:color w:val="000000"/>
          <w:sz w:val="22"/>
          <w:szCs w:val="22"/>
          <w:highlight w:val="white"/>
          <w:u w:val="single"/>
          <w:rtl w:val="0"/>
        </w:rPr>
        <w:t xml:space="preserve">Profile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I am a commercially focused, experienced marketing communications professional with an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analytical, creative and strategic approach to customer communications. A lateral thinker with omni-channel delivery experience at senior level including Account, Project and Campaign Management </w:t>
      </w:r>
      <w:r w:rsidDel="00000000" w:rsidR="00000000" w:rsidRPr="00000000">
        <w:rPr>
          <w:rFonts w:ascii="Helvetica Neue" w:cs="Helvetica Neue" w:eastAsia="Helvetica Neue" w:hAnsi="Helvetica Neue"/>
          <w:sz w:val="22"/>
          <w:szCs w:val="22"/>
          <w:highlight w:val="white"/>
          <w:rtl w:val="0"/>
        </w:rPr>
        <w:t xml:space="preserve">in</w:t>
      </w:r>
      <w:r w:rsidDel="00000000" w:rsidR="00000000" w:rsidRPr="00000000">
        <w:rPr>
          <w:rFonts w:ascii="Helvetica Neue" w:cs="Helvetica Neue" w:eastAsia="Helvetica Neue" w:hAnsi="Helvetica Neue"/>
          <w:color w:val="000000"/>
          <w:sz w:val="22"/>
          <w:szCs w:val="22"/>
          <w:highlight w:val="white"/>
          <w:rtl w:val="0"/>
        </w:rPr>
        <w:t xml:space="preserve"> B2B and B2C environments, agency and in-house. I'm passionate about digital and online marketing as well as being technically inquisitive with key strengths in CRM data</w:t>
      </w:r>
      <w:r w:rsidDel="00000000" w:rsidR="00000000" w:rsidRPr="00000000">
        <w:rPr>
          <w:rFonts w:ascii="Helvetica Neue" w:cs="Helvetica Neue" w:eastAsia="Helvetica Neue" w:hAnsi="Helvetica Neue"/>
          <w:sz w:val="22"/>
          <w:szCs w:val="22"/>
          <w:highlight w:val="white"/>
          <w:rtl w:val="0"/>
        </w:rPr>
        <w:t xml:space="preserve"> </w:t>
      </w:r>
      <w:r w:rsidDel="00000000" w:rsidR="00000000" w:rsidRPr="00000000">
        <w:rPr>
          <w:rFonts w:ascii="Helvetica Neue" w:cs="Helvetica Neue" w:eastAsia="Helvetica Neue" w:hAnsi="Helvetica Neue"/>
          <w:color w:val="000000"/>
          <w:sz w:val="22"/>
          <w:szCs w:val="22"/>
          <w:highlight w:val="white"/>
          <w:rtl w:val="0"/>
        </w:rPr>
        <w:t xml:space="preserve">marketing.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sz w:val="22"/>
          <w:szCs w:val="22"/>
          <w:highlight w:val="whit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sz w:val="20"/>
          <w:szCs w:val="20"/>
          <w:highlight w:val="white"/>
          <w:u w:val="single"/>
        </w:rPr>
      </w:pPr>
      <w:r w:rsidDel="00000000" w:rsidR="00000000" w:rsidRPr="00000000">
        <w:rPr>
          <w:rFonts w:ascii="Helvetica Neue" w:cs="Helvetica Neue" w:eastAsia="Helvetica Neue" w:hAnsi="Helvetica Neue"/>
          <w:b w:val="1"/>
          <w:color w:val="000000"/>
          <w:sz w:val="22"/>
          <w:szCs w:val="22"/>
          <w:highlight w:val="white"/>
          <w:u w:val="single"/>
          <w:rtl w:val="0"/>
        </w:rPr>
        <w:t xml:space="preserve">Skills &amp; Experience</w:t>
      </w:r>
      <w:r w:rsidDel="00000000" w:rsidR="00000000" w:rsidRPr="00000000">
        <w:rPr>
          <w:rtl w:val="0"/>
        </w:rPr>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pacing w:line="276" w:lineRule="auto"/>
        <w:ind w:left="720" w:hanging="360"/>
        <w:rPr>
          <w:color w:val="000000"/>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ABM and Programmatic Approach to Demand &amp; Lead Gen</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pacing w:line="276" w:lineRule="auto"/>
        <w:ind w:left="720" w:hanging="360"/>
        <w:rPr>
          <w:color w:val="000000"/>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Commercial expertise in the delivery of digital/technological change</w:t>
      </w:r>
      <w:r w:rsidDel="00000000" w:rsidR="00000000" w:rsidRPr="00000000">
        <w:rPr>
          <w:rtl w:val="0"/>
        </w:rPr>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pacing w:line="276" w:lineRule="auto"/>
        <w:ind w:left="720" w:hanging="36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Experience in managing and implementation of new ESPs and MA platforms</w:t>
      </w:r>
    </w:p>
    <w:p w:rsidR="00000000" w:rsidDel="00000000" w:rsidP="00000000" w:rsidRDefault="00000000" w:rsidRPr="00000000" w14:paraId="0000000C">
      <w:pPr>
        <w:pageBreakBefore w:val="0"/>
        <w:numPr>
          <w:ilvl w:val="0"/>
          <w:numId w:val="5"/>
        </w:numPr>
        <w:spacing w:line="276" w:lineRule="auto"/>
        <w:ind w:left="720" w:hanging="36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Maximising and monetising customer experiences by delivering multi-channel lifecycle customer journeys including Email, App, Push, SMS and Social</w:t>
      </w:r>
      <w:r w:rsidDel="00000000" w:rsidR="00000000" w:rsidRPr="00000000">
        <w:rPr>
          <w:rtl w:val="0"/>
        </w:rPr>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pacing w:line="276" w:lineRule="auto"/>
        <w:ind w:left="720" w:hanging="360"/>
        <w:rPr>
          <w:color w:val="000000"/>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Strategic implementation of triggered and automated, data driven, dynamic campaigns</w:t>
      </w:r>
      <w:r w:rsidDel="00000000" w:rsidR="00000000" w:rsidRPr="00000000">
        <w:rPr>
          <w:rtl w:val="0"/>
        </w:rPr>
      </w:r>
    </w:p>
    <w:p w:rsidR="00000000" w:rsidDel="00000000" w:rsidP="00000000" w:rsidRDefault="00000000" w:rsidRPr="00000000" w14:paraId="0000000E">
      <w:pPr>
        <w:pageBreakBefore w:val="0"/>
        <w:numPr>
          <w:ilvl w:val="0"/>
          <w:numId w:val="5"/>
        </w:numPr>
        <w:pBdr>
          <w:top w:space="0" w:sz="0" w:val="nil"/>
          <w:left w:space="0" w:sz="0" w:val="nil"/>
          <w:bottom w:space="0" w:sz="0" w:val="nil"/>
          <w:right w:space="0" w:sz="0" w:val="nil"/>
          <w:between w:space="0" w:sz="0" w:val="nil"/>
        </w:pBdr>
        <w:spacing w:line="276" w:lineRule="auto"/>
        <w:ind w:left="720" w:hanging="360"/>
        <w:rPr>
          <w:rFonts w:ascii="Helvetica Neue" w:cs="Helvetica Neue" w:eastAsia="Helvetica Neue" w:hAnsi="Helvetica Neue"/>
          <w:sz w:val="22"/>
          <w:szCs w:val="22"/>
          <w:highlight w:val="white"/>
          <w:u w:val="none"/>
        </w:rPr>
      </w:pPr>
      <w:r w:rsidDel="00000000" w:rsidR="00000000" w:rsidRPr="00000000">
        <w:rPr>
          <w:rFonts w:ascii="Helvetica Neue" w:cs="Helvetica Neue" w:eastAsia="Helvetica Neue" w:hAnsi="Helvetica Neue"/>
          <w:sz w:val="22"/>
          <w:szCs w:val="22"/>
          <w:highlight w:val="white"/>
          <w:rtl w:val="0"/>
        </w:rPr>
        <w:t xml:space="preserve">Digital ‘Growth Hacker’ - Customer acquisition, brand awareness, loyalty, churn reduction</w:t>
      </w:r>
    </w:p>
    <w:p w:rsidR="00000000" w:rsidDel="00000000" w:rsidP="00000000" w:rsidRDefault="00000000" w:rsidRPr="00000000" w14:paraId="0000000F">
      <w:pPr>
        <w:pageBreakBefore w:val="0"/>
        <w:numPr>
          <w:ilvl w:val="0"/>
          <w:numId w:val="5"/>
        </w:numPr>
        <w:pBdr>
          <w:top w:space="0" w:sz="0" w:val="nil"/>
          <w:left w:space="0" w:sz="0" w:val="nil"/>
          <w:bottom w:space="0" w:sz="0" w:val="nil"/>
          <w:right w:space="0" w:sz="0" w:val="nil"/>
          <w:between w:space="0" w:sz="0" w:val="nil"/>
        </w:pBdr>
        <w:spacing w:line="276" w:lineRule="auto"/>
        <w:ind w:left="720" w:hanging="360"/>
        <w:rPr>
          <w:color w:val="000000"/>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Roll out of tactical </w:t>
      </w:r>
      <w:r w:rsidDel="00000000" w:rsidR="00000000" w:rsidRPr="00000000">
        <w:rPr>
          <w:rFonts w:ascii="Helvetica Neue" w:cs="Helvetica Neue" w:eastAsia="Helvetica Neue" w:hAnsi="Helvetica Neue"/>
          <w:color w:val="000000"/>
          <w:sz w:val="22"/>
          <w:szCs w:val="22"/>
          <w:highlight w:val="white"/>
          <w:rtl w:val="0"/>
        </w:rPr>
        <w:t xml:space="preserve">MVT/AB Split</w:t>
      </w:r>
      <w:r w:rsidDel="00000000" w:rsidR="00000000" w:rsidRPr="00000000">
        <w:rPr>
          <w:rFonts w:ascii="Helvetica Neue" w:cs="Helvetica Neue" w:eastAsia="Helvetica Neue" w:hAnsi="Helvetica Neue"/>
          <w:sz w:val="22"/>
          <w:szCs w:val="22"/>
          <w:highlight w:val="white"/>
          <w:rtl w:val="0"/>
        </w:rPr>
        <w:t xml:space="preserve"> Testing plans leveraging on customer insights and behavioural data and analytics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sz w:val="22"/>
          <w:szCs w:val="22"/>
          <w:highlight w:val="white"/>
        </w:rPr>
      </w:pPr>
      <w:r w:rsidDel="00000000" w:rsidR="00000000" w:rsidRPr="00000000">
        <w:rPr>
          <w:rtl w:val="0"/>
        </w:rPr>
      </w:r>
    </w:p>
    <w:tbl>
      <w:tblPr>
        <w:tblStyle w:val="Table1"/>
        <w:tblW w:w="9720.0" w:type="dxa"/>
        <w:jc w:val="left"/>
        <w:tblInd w:w="-120.0" w:type="dxa"/>
        <w:tblLayout w:type="fixed"/>
        <w:tblLook w:val="0600"/>
      </w:tblPr>
      <w:tblGrid>
        <w:gridCol w:w="4800"/>
        <w:gridCol w:w="4920"/>
        <w:tblGridChange w:id="0">
          <w:tblGrid>
            <w:gridCol w:w="480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76" w:lineRule="auto"/>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b w:val="1"/>
                <w:sz w:val="22"/>
                <w:szCs w:val="22"/>
                <w:highlight w:val="white"/>
                <w:rtl w:val="0"/>
              </w:rPr>
              <w:t xml:space="preserve">Attribution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76" w:lineRule="auto"/>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b w:val="1"/>
                <w:sz w:val="22"/>
                <w:szCs w:val="22"/>
                <w:highlight w:val="white"/>
                <w:rtl w:val="0"/>
              </w:rPr>
              <w:t xml:space="preserve">Data &amp; Analytics Skills and Knowledge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numPr>
                <w:ilvl w:val="0"/>
                <w:numId w:val="6"/>
              </w:numPr>
              <w:spacing w:line="276" w:lineRule="auto"/>
              <w:ind w:left="720" w:hanging="360"/>
              <w:rPr>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Customer Lifetime Value (CLV)</w:t>
            </w:r>
            <w:r w:rsidDel="00000000" w:rsidR="00000000" w:rsidRPr="00000000">
              <w:rPr>
                <w:rtl w:val="0"/>
              </w:rPr>
            </w:r>
          </w:p>
          <w:p w:rsidR="00000000" w:rsidDel="00000000" w:rsidP="00000000" w:rsidRDefault="00000000" w:rsidRPr="00000000" w14:paraId="00000014">
            <w:pPr>
              <w:pageBreakBefore w:val="0"/>
              <w:numPr>
                <w:ilvl w:val="0"/>
                <w:numId w:val="6"/>
              </w:numPr>
              <w:spacing w:line="276" w:lineRule="auto"/>
              <w:ind w:left="720" w:hanging="360"/>
              <w:rPr>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Cost per Acquisition (CPA/CPM)</w:t>
            </w:r>
            <w:r w:rsidDel="00000000" w:rsidR="00000000" w:rsidRPr="00000000">
              <w:rPr>
                <w:rtl w:val="0"/>
              </w:rPr>
            </w:r>
          </w:p>
          <w:p w:rsidR="00000000" w:rsidDel="00000000" w:rsidP="00000000" w:rsidRDefault="00000000" w:rsidRPr="00000000" w14:paraId="00000015">
            <w:pPr>
              <w:pageBreakBefore w:val="0"/>
              <w:numPr>
                <w:ilvl w:val="0"/>
                <w:numId w:val="6"/>
              </w:numPr>
              <w:spacing w:line="276" w:lineRule="auto"/>
              <w:ind w:left="720" w:hanging="360"/>
              <w:rPr>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Conversion Rate Optimisation (CRO)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numPr>
                <w:ilvl w:val="0"/>
                <w:numId w:val="3"/>
              </w:numPr>
              <w:spacing w:line="276" w:lineRule="auto"/>
              <w:ind w:left="720" w:hanging="360"/>
              <w:rPr>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GA 360; Tableau; IBM Core Metrics, Adobe Analytics, MS Power BI</w:t>
            </w:r>
            <w:r w:rsidDel="00000000" w:rsidR="00000000" w:rsidRPr="00000000">
              <w:rPr>
                <w:rtl w:val="0"/>
              </w:rPr>
            </w:r>
          </w:p>
          <w:p w:rsidR="00000000" w:rsidDel="00000000" w:rsidP="00000000" w:rsidRDefault="00000000" w:rsidRPr="00000000" w14:paraId="00000017">
            <w:pPr>
              <w:pageBreakBefore w:val="0"/>
              <w:numPr>
                <w:ilvl w:val="0"/>
                <w:numId w:val="3"/>
              </w:numPr>
              <w:spacing w:line="276" w:lineRule="auto"/>
              <w:ind w:left="720" w:hanging="360"/>
              <w:rPr>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Campaign Tracking &amp; Conversion; Segmentation; Profiling</w:t>
            </w:r>
            <w:r w:rsidDel="00000000" w:rsidR="00000000" w:rsidRPr="00000000">
              <w:rPr>
                <w:rtl w:val="0"/>
              </w:rPr>
            </w:r>
          </w:p>
          <w:p w:rsidR="00000000" w:rsidDel="00000000" w:rsidP="00000000" w:rsidRDefault="00000000" w:rsidRPr="00000000" w14:paraId="00000018">
            <w:pPr>
              <w:pageBreakBefore w:val="0"/>
              <w:numPr>
                <w:ilvl w:val="0"/>
                <w:numId w:val="3"/>
              </w:numPr>
              <w:spacing w:line="276" w:lineRule="auto"/>
              <w:ind w:left="720" w:hanging="360"/>
              <w:rPr>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GDPR Legislation and Best Practice</w:t>
            </w:r>
          </w:p>
        </w:tc>
      </w:tr>
    </w:tbl>
    <w:p w:rsidR="00000000" w:rsidDel="00000000" w:rsidP="00000000" w:rsidRDefault="00000000" w:rsidRPr="00000000" w14:paraId="00000019">
      <w:pPr>
        <w:pageBreakBefore w:val="0"/>
        <w:rPr>
          <w:rFonts w:ascii="Helvetica Neue" w:cs="Helvetica Neue" w:eastAsia="Helvetica Neue" w:hAnsi="Helvetica Neue"/>
          <w:b w:val="1"/>
          <w:sz w:val="22"/>
          <w:szCs w:val="22"/>
          <w:highlight w:val="white"/>
        </w:rPr>
      </w:pPr>
      <w:r w:rsidDel="00000000" w:rsidR="00000000" w:rsidRPr="00000000">
        <w:rPr>
          <w:rtl w:val="0"/>
        </w:rPr>
      </w:r>
    </w:p>
    <w:p w:rsidR="00000000" w:rsidDel="00000000" w:rsidP="00000000" w:rsidRDefault="00000000" w:rsidRPr="00000000" w14:paraId="0000001A">
      <w:pPr>
        <w:pageBreakBefore w:val="0"/>
        <w:rPr>
          <w:rFonts w:ascii="Helvetica Neue" w:cs="Helvetica Neue" w:eastAsia="Helvetica Neue" w:hAnsi="Helvetica Neue"/>
          <w:b w:val="1"/>
          <w:sz w:val="22"/>
          <w:szCs w:val="22"/>
          <w:highlight w:val="white"/>
        </w:rPr>
      </w:pPr>
      <w:r w:rsidDel="00000000" w:rsidR="00000000" w:rsidRPr="00000000">
        <w:rPr>
          <w:rFonts w:ascii="Helvetica Neue" w:cs="Helvetica Neue" w:eastAsia="Helvetica Neue" w:hAnsi="Helvetica Neue"/>
          <w:b w:val="1"/>
          <w:sz w:val="22"/>
          <w:szCs w:val="22"/>
          <w:highlight w:val="white"/>
          <w:rtl w:val="0"/>
        </w:rPr>
        <w:t xml:space="preserve">Marketing Platform Experience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Adestra, Adobe Marketing Cloud; Braze; Campaign Monitor; </w:t>
      </w:r>
      <w:r w:rsidDel="00000000" w:rsidR="00000000" w:rsidRPr="00000000">
        <w:rPr>
          <w:rFonts w:ascii="Helvetica Neue" w:cs="Helvetica Neue" w:eastAsia="Helvetica Neue" w:hAnsi="Helvetica Neue"/>
          <w:color w:val="000000"/>
          <w:sz w:val="22"/>
          <w:szCs w:val="22"/>
          <w:highlight w:val="white"/>
          <w:rtl w:val="0"/>
        </w:rPr>
        <w:t xml:space="preserve">IBM Watson; </w:t>
      </w:r>
      <w:r w:rsidDel="00000000" w:rsidR="00000000" w:rsidRPr="00000000">
        <w:rPr>
          <w:rFonts w:ascii="Helvetica Neue" w:cs="Helvetica Neue" w:eastAsia="Helvetica Neue" w:hAnsi="Helvetica Neue"/>
          <w:sz w:val="22"/>
          <w:szCs w:val="22"/>
          <w:highlight w:val="white"/>
          <w:rtl w:val="0"/>
        </w:rPr>
        <w:t xml:space="preserve">Dotmailer; Emarsys; Epsilon; Mailchimp, Responsys; </w:t>
      </w:r>
      <w:r w:rsidDel="00000000" w:rsidR="00000000" w:rsidRPr="00000000">
        <w:rPr>
          <w:rFonts w:ascii="Helvetica Neue" w:cs="Helvetica Neue" w:eastAsia="Helvetica Neue" w:hAnsi="Helvetica Neue"/>
          <w:color w:val="000000"/>
          <w:sz w:val="22"/>
          <w:szCs w:val="22"/>
          <w:highlight w:val="white"/>
          <w:rtl w:val="0"/>
        </w:rPr>
        <w:t xml:space="preserve">Sales</w:t>
      </w:r>
      <w:r w:rsidDel="00000000" w:rsidR="00000000" w:rsidRPr="00000000">
        <w:rPr>
          <w:rFonts w:ascii="Helvetica Neue" w:cs="Helvetica Neue" w:eastAsia="Helvetica Neue" w:hAnsi="Helvetica Neue"/>
          <w:sz w:val="22"/>
          <w:szCs w:val="22"/>
          <w:highlight w:val="white"/>
          <w:rtl w:val="0"/>
        </w:rPr>
        <w:t xml:space="preserve">f</w:t>
      </w:r>
      <w:r w:rsidDel="00000000" w:rsidR="00000000" w:rsidRPr="00000000">
        <w:rPr>
          <w:rFonts w:ascii="Helvetica Neue" w:cs="Helvetica Neue" w:eastAsia="Helvetica Neue" w:hAnsi="Helvetica Neue"/>
          <w:color w:val="000000"/>
          <w:sz w:val="22"/>
          <w:szCs w:val="22"/>
          <w:highlight w:val="white"/>
          <w:rtl w:val="0"/>
        </w:rPr>
        <w:t xml:space="preserve">orce Marketing Cloud</w:t>
      </w:r>
      <w:r w:rsidDel="00000000" w:rsidR="00000000" w:rsidRPr="00000000">
        <w:rPr>
          <w:rFonts w:ascii="Helvetica Neue" w:cs="Helvetica Neue" w:eastAsia="Helvetica Neue" w:hAnsi="Helvetica Neue"/>
          <w:sz w:val="22"/>
          <w:szCs w:val="22"/>
          <w:highlight w:val="white"/>
          <w:rtl w:val="0"/>
        </w:rPr>
        <w:t xml:space="preserve">;</w:t>
      </w:r>
      <w:r w:rsidDel="00000000" w:rsidR="00000000" w:rsidRPr="00000000">
        <w:rPr>
          <w:rFonts w:ascii="Helvetica Neue" w:cs="Helvetica Neue" w:eastAsia="Helvetica Neue" w:hAnsi="Helvetica Neue"/>
          <w:color w:val="000000"/>
          <w:sz w:val="22"/>
          <w:szCs w:val="22"/>
          <w:highlight w:val="white"/>
          <w:rtl w:val="0"/>
        </w:rPr>
        <w:t xml:space="preserve"> Hubspot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highlight w:val="white"/>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highlight w:val="white"/>
          <w:u w:val="single"/>
        </w:rPr>
      </w:pPr>
      <w:r w:rsidDel="00000000" w:rsidR="00000000" w:rsidRPr="00000000">
        <w:rPr>
          <w:rFonts w:ascii="Helvetica Neue" w:cs="Helvetica Neue" w:eastAsia="Helvetica Neue" w:hAnsi="Helvetica Neue"/>
          <w:b w:val="1"/>
          <w:color w:val="000000"/>
          <w:highlight w:val="white"/>
          <w:u w:val="single"/>
          <w:rtl w:val="0"/>
        </w:rPr>
        <w:t xml:space="preserve">Roles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Contracting Roles - Oct 2020 - Current</w:t>
        <w:tab/>
        <w:t xml:space="preserve">Senior CRM and Demand Generation</w:t>
      </w:r>
    </w:p>
    <w:p w:rsidR="00000000" w:rsidDel="00000000" w:rsidP="00000000" w:rsidRDefault="00000000" w:rsidRPr="00000000" w14:paraId="00000020">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Holland &amp; Barrett;  The Sole Supplier; Pole Star Global</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Platform SME on SFMC and Braze and Hubspot</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Roboto" w:cs="Roboto" w:eastAsia="Roboto" w:hAnsi="Roboto"/>
          <w:sz w:val="21"/>
          <w:szCs w:val="21"/>
          <w:highlight w:val="white"/>
          <w:rtl w:val="0"/>
        </w:rPr>
        <w:t xml:space="preserve">Measuring and tracking ROI against key SQL and MQL KPI’s</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Tactical planning of lead funnel and scoring opportunities</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Driving 7x growth in new leads and enquiries</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Strategic responsibility in developing customer engagement road map through omni-channel touch points including app, email, push and SMS</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Defining tactical campaigns in customer, segmentation, personalisation and reducing churn and increasing customer LTV</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Development of acquisition strategy in increasing ROI through customer centric, data driven campaigns and Test &amp; Learn multi-variant testing</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Reporting, analytics and management of multi million £GBP CRM departments</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Managing, supporting and developing staff members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2"/>
          <w:szCs w:val="22"/>
          <w:rtl w:val="0"/>
        </w:rPr>
        <w:t xml:space="preserve">The Travel Corporation; Global CRM Manager </w:t>
      </w:r>
      <w:r w:rsidDel="00000000" w:rsidR="00000000" w:rsidRPr="00000000">
        <w:rPr>
          <w:rFonts w:ascii="Helvetica Neue" w:cs="Helvetica Neue" w:eastAsia="Helvetica Neue" w:hAnsi="Helvetica Neue"/>
          <w:i w:val="1"/>
          <w:sz w:val="22"/>
          <w:szCs w:val="22"/>
          <w:rtl w:val="0"/>
        </w:rPr>
        <w:t xml:space="preserve">(redundant)</w:t>
      </w:r>
      <w:r w:rsidDel="00000000" w:rsidR="00000000" w:rsidRPr="00000000">
        <w:rPr>
          <w:rFonts w:ascii="Helvetica Neue" w:cs="Helvetica Neue" w:eastAsia="Helvetica Neue" w:hAnsi="Helvetica Neue"/>
          <w:b w:val="1"/>
          <w:i w:val="1"/>
          <w:sz w:val="22"/>
          <w:szCs w:val="22"/>
          <w:rtl w:val="0"/>
        </w:rPr>
        <w:tab/>
      </w:r>
      <w:r w:rsidDel="00000000" w:rsidR="00000000" w:rsidRPr="00000000">
        <w:rPr>
          <w:rFonts w:ascii="Helvetica Neue" w:cs="Helvetica Neue" w:eastAsia="Helvetica Neue" w:hAnsi="Helvetica Neue"/>
          <w:b w:val="1"/>
          <w:sz w:val="22"/>
          <w:szCs w:val="22"/>
          <w:rtl w:val="0"/>
        </w:rPr>
        <w:t xml:space="preserve">October 2019 - Sept 2020</w:t>
      </w:r>
      <w:r w:rsidDel="00000000" w:rsidR="00000000" w:rsidRPr="00000000">
        <w:rPr>
          <w:rtl w:val="0"/>
        </w:rPr>
      </w:r>
    </w:p>
    <w:p w:rsidR="00000000" w:rsidDel="00000000" w:rsidP="00000000" w:rsidRDefault="00000000" w:rsidRPr="00000000" w14:paraId="0000002C">
      <w:pPr>
        <w:pageBreakBefore w:val="0"/>
        <w:numPr>
          <w:ilvl w:val="0"/>
          <w:numId w:val="4"/>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Data driven role that focuses on delivering and optimising customer journeys through triggered and automated campaigns across USA and EMEA regions using SFMC</w:t>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Defining CRM strategy for both B2B and B2C campaigns that deliver continuous growth in customer NPS, CRO and revenue</w:t>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Delivering monthly analysis and reporting that identifies trends and opportunities to upscale, expand and optimise the customer journey</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Leveraging customer data against multichannel communications to maximise all user touch points including email, social, paid and direct</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Liaising with internal stakeholders in managing content and multiple projects to time and scale</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pacing w:line="276" w:lineRule="auto"/>
        <w:ind w:left="283.46456692913375" w:hanging="36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Budgeting and forecasting; Responsible for a team of 4 Executives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Totaljobs Group; </w:t>
        <w:tab/>
        <w:t xml:space="preserve">eCRM Manager </w:t>
        <w:tab/>
        <w:tab/>
        <w:tab/>
        <w:tab/>
        <w:t xml:space="preserve">April 2018 – Oct 2019</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Responsible for delivering B2B customer engagement strategy for 11 job board brands across Stepstone UK from niche specialists to large generalists. Driving Leads and Alerts to enable our Sales teams to acquire, convert and up sell at every opportunity of the customer journey.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LiveArea;</w:t>
        <w:tab/>
        <w:t xml:space="preserve">eCRM Marketing Strategist </w:t>
        <w:tab/>
      </w:r>
      <w:r w:rsidDel="00000000" w:rsidR="00000000" w:rsidRPr="00000000">
        <w:rPr>
          <w:rFonts w:ascii="Helvetica Neue" w:cs="Helvetica Neue" w:eastAsia="Helvetica Neue" w:hAnsi="Helvetica Neue"/>
          <w:i w:val="1"/>
          <w:color w:val="000000"/>
          <w:sz w:val="22"/>
          <w:szCs w:val="22"/>
          <w:rtl w:val="0"/>
        </w:rPr>
        <w:t xml:space="preserve">(contr</w:t>
      </w:r>
      <w:r w:rsidDel="00000000" w:rsidR="00000000" w:rsidRPr="00000000">
        <w:rPr>
          <w:rFonts w:ascii="Helvetica Neue" w:cs="Helvetica Neue" w:eastAsia="Helvetica Neue" w:hAnsi="Helvetica Neue"/>
          <w:i w:val="1"/>
          <w:sz w:val="22"/>
          <w:szCs w:val="22"/>
          <w:rtl w:val="0"/>
        </w:rPr>
        <w:t xml:space="preserve">act)</w:t>
      </w:r>
      <w:r w:rsidDel="00000000" w:rsidR="00000000" w:rsidRPr="00000000">
        <w:rPr>
          <w:rFonts w:ascii="Helvetica Neue" w:cs="Helvetica Neue" w:eastAsia="Helvetica Neue" w:hAnsi="Helvetica Neue"/>
          <w:b w:val="1"/>
          <w:i w:val="1"/>
          <w:color w:val="000000"/>
          <w:sz w:val="22"/>
          <w:szCs w:val="22"/>
          <w:rtl w:val="0"/>
        </w:rPr>
        <w:tab/>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rtl w:val="0"/>
        </w:rPr>
        <w:t xml:space="preserve">May 2017 - </w:t>
      </w:r>
      <w:r w:rsidDel="00000000" w:rsidR="00000000" w:rsidRPr="00000000">
        <w:rPr>
          <w:rFonts w:ascii="Helvetica Neue" w:cs="Helvetica Neue" w:eastAsia="Helvetica Neue" w:hAnsi="Helvetica Neue"/>
          <w:b w:val="1"/>
          <w:sz w:val="22"/>
          <w:szCs w:val="22"/>
          <w:rtl w:val="0"/>
        </w:rPr>
        <w:t xml:space="preserve">April 2018</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2"/>
          <w:szCs w:val="22"/>
          <w:rtl w:val="0"/>
        </w:rPr>
        <w:t xml:space="preserve">SFMC SME; Strategic account lead for several key brands that represent over £5m in annual agency revenue. </w:t>
      </w:r>
      <w:r w:rsidDel="00000000" w:rsidR="00000000" w:rsidRPr="00000000">
        <w:rPr>
          <w:rFonts w:ascii="Helvetica Neue" w:cs="Helvetica Neue" w:eastAsia="Helvetica Neue" w:hAnsi="Helvetica Neue"/>
          <w:color w:val="000000"/>
          <w:sz w:val="22"/>
          <w:szCs w:val="22"/>
          <w:rtl w:val="0"/>
        </w:rPr>
        <w:t xml:space="preserve">Responsible for</w:t>
      </w:r>
      <w:r w:rsidDel="00000000" w:rsidR="00000000" w:rsidRPr="00000000">
        <w:rPr>
          <w:rFonts w:ascii="Helvetica Neue" w:cs="Helvetica Neue" w:eastAsia="Helvetica Neue" w:hAnsi="Helvetica Neue"/>
          <w:sz w:val="22"/>
          <w:szCs w:val="22"/>
          <w:rtl w:val="0"/>
        </w:rPr>
        <w:t xml:space="preserve"> management and</w:t>
      </w:r>
      <w:r w:rsidDel="00000000" w:rsidR="00000000" w:rsidRPr="00000000">
        <w:rPr>
          <w:rFonts w:ascii="Helvetica Neue" w:cs="Helvetica Neue" w:eastAsia="Helvetica Neue" w:hAnsi="Helvetica Neue"/>
          <w:color w:val="000000"/>
          <w:sz w:val="22"/>
          <w:szCs w:val="22"/>
          <w:rtl w:val="0"/>
        </w:rPr>
        <w:t xml:space="preserve"> delivery of entire life cycle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programmes, </w:t>
      </w:r>
      <w:r w:rsidDel="00000000" w:rsidR="00000000" w:rsidRPr="00000000">
        <w:rPr>
          <w:rFonts w:ascii="Helvetica Neue" w:cs="Helvetica Neue" w:eastAsia="Helvetica Neue" w:hAnsi="Helvetica Neue"/>
          <w:sz w:val="22"/>
          <w:szCs w:val="22"/>
          <w:rtl w:val="0"/>
        </w:rPr>
        <w:t xml:space="preserve">management of</w:t>
      </w:r>
      <w:r w:rsidDel="00000000" w:rsidR="00000000" w:rsidRPr="00000000">
        <w:rPr>
          <w:rFonts w:ascii="Helvetica Neue" w:cs="Helvetica Neue" w:eastAsia="Helvetica Neue" w:hAnsi="Helvetica Neue"/>
          <w:color w:val="000000"/>
          <w:sz w:val="22"/>
          <w:szCs w:val="22"/>
          <w:rtl w:val="0"/>
        </w:rPr>
        <w:t xml:space="preserve"> contextual and dynamic </w:t>
      </w:r>
      <w:r w:rsidDel="00000000" w:rsidR="00000000" w:rsidRPr="00000000">
        <w:rPr>
          <w:rFonts w:ascii="Helvetica Neue" w:cs="Helvetica Neue" w:eastAsia="Helvetica Neue" w:hAnsi="Helvetica Neue"/>
          <w:sz w:val="22"/>
          <w:szCs w:val="22"/>
          <w:rtl w:val="0"/>
        </w:rPr>
        <w:t xml:space="preserve">campaigns</w:t>
      </w:r>
      <w:r w:rsidDel="00000000" w:rsidR="00000000" w:rsidRPr="00000000">
        <w:rPr>
          <w:rFonts w:ascii="Helvetica Neue" w:cs="Helvetica Neue" w:eastAsia="Helvetica Neue" w:hAnsi="Helvetica Neue"/>
          <w:color w:val="000000"/>
          <w:sz w:val="22"/>
          <w:szCs w:val="22"/>
          <w:rtl w:val="0"/>
        </w:rPr>
        <w:t xml:space="preserve"> leveraging on customer data. Using Agile and Waterfall approach to </w:t>
      </w:r>
      <w:r w:rsidDel="00000000" w:rsidR="00000000" w:rsidRPr="00000000">
        <w:rPr>
          <w:rFonts w:ascii="Helvetica Neue" w:cs="Helvetica Neue" w:eastAsia="Helvetica Neue" w:hAnsi="Helvetica Neue"/>
          <w:sz w:val="22"/>
          <w:szCs w:val="22"/>
          <w:rtl w:val="0"/>
        </w:rPr>
        <w:t xml:space="preserve">d</w:t>
      </w:r>
      <w:r w:rsidDel="00000000" w:rsidR="00000000" w:rsidRPr="00000000">
        <w:rPr>
          <w:rFonts w:ascii="Helvetica Neue" w:cs="Helvetica Neue" w:eastAsia="Helvetica Neue" w:hAnsi="Helvetica Neue"/>
          <w:color w:val="000000"/>
          <w:sz w:val="22"/>
          <w:szCs w:val="22"/>
          <w:rtl w:val="0"/>
        </w:rPr>
        <w:t xml:space="preserve">eliver </w:t>
      </w:r>
      <w:r w:rsidDel="00000000" w:rsidR="00000000" w:rsidRPr="00000000">
        <w:rPr>
          <w:rFonts w:ascii="Helvetica Neue" w:cs="Helvetica Neue" w:eastAsia="Helvetica Neue" w:hAnsi="Helvetica Neue"/>
          <w:sz w:val="22"/>
          <w:szCs w:val="22"/>
          <w:rtl w:val="0"/>
        </w:rPr>
        <w:t xml:space="preserve">client</w:t>
      </w:r>
      <w:r w:rsidDel="00000000" w:rsidR="00000000" w:rsidRPr="00000000">
        <w:rPr>
          <w:rFonts w:ascii="Helvetica Neue" w:cs="Helvetica Neue" w:eastAsia="Helvetica Neue" w:hAnsi="Helvetica Neue"/>
          <w:color w:val="000000"/>
          <w:sz w:val="22"/>
          <w:szCs w:val="22"/>
          <w:rtl w:val="0"/>
        </w:rPr>
        <w:t xml:space="preserve"> road map</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color w:val="000000"/>
          <w:sz w:val="22"/>
          <w:szCs w:val="22"/>
          <w:rtl w:val="0"/>
        </w:rPr>
        <w:t xml:space="preserve"> communication strategies and ecrm plans including GDPR readiness.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color w:val="000000"/>
          <w:sz w:val="22"/>
          <w:szCs w:val="22"/>
        </w:rPr>
      </w:pPr>
      <w:r w:rsidDel="00000000" w:rsidR="00000000" w:rsidRPr="00000000">
        <w:rPr>
          <w:rFonts w:ascii="Helvetica Neue" w:cs="Helvetica Neue" w:eastAsia="Helvetica Neue" w:hAnsi="Helvetica Neue"/>
          <w:i w:val="1"/>
          <w:sz w:val="22"/>
          <w:szCs w:val="22"/>
          <w:rtl w:val="0"/>
        </w:rPr>
        <w:t xml:space="preserve">Agency: B2C; Key clients include: GORE, Heineken, Pandora, Champion, Asics.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Steel London; </w:t>
        <w:tab/>
        <w:t xml:space="preserve">eCRM Head of Strategy </w:t>
      </w:r>
      <w:r w:rsidDel="00000000" w:rsidR="00000000" w:rsidRPr="00000000">
        <w:rPr>
          <w:rFonts w:ascii="Helvetica Neue" w:cs="Helvetica Neue" w:eastAsia="Helvetica Neue" w:hAnsi="Helvetica Neue"/>
          <w:i w:val="1"/>
          <w:color w:val="000000"/>
          <w:sz w:val="22"/>
          <w:szCs w:val="22"/>
          <w:rtl w:val="0"/>
        </w:rPr>
        <w:t xml:space="preserve">(contract)</w:t>
      </w:r>
      <w:r w:rsidDel="00000000" w:rsidR="00000000" w:rsidRPr="00000000">
        <w:rPr>
          <w:rFonts w:ascii="Helvetica Neue" w:cs="Helvetica Neue" w:eastAsia="Helvetica Neue" w:hAnsi="Helvetica Neue"/>
          <w:b w:val="1"/>
          <w:i w:val="1"/>
          <w:color w:val="000000"/>
          <w:sz w:val="22"/>
          <w:szCs w:val="22"/>
          <w:rtl w:val="0"/>
        </w:rPr>
        <w:tab/>
      </w:r>
      <w:r w:rsidDel="00000000" w:rsidR="00000000" w:rsidRPr="00000000">
        <w:rPr>
          <w:rFonts w:ascii="Helvetica Neue" w:cs="Helvetica Neue" w:eastAsia="Helvetica Neue" w:hAnsi="Helvetica Neue"/>
          <w:b w:val="1"/>
          <w:color w:val="000000"/>
          <w:sz w:val="22"/>
          <w:szCs w:val="22"/>
          <w:rtl w:val="0"/>
        </w:rPr>
        <w:tab/>
        <w:t xml:space="preserve">January 2016 – May 2017</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Strategic delivery of</w:t>
      </w:r>
      <w:r w:rsidDel="00000000" w:rsidR="00000000" w:rsidRPr="00000000">
        <w:rPr>
          <w:rFonts w:ascii="Helvetica Neue" w:cs="Helvetica Neue" w:eastAsia="Helvetica Neue" w:hAnsi="Helvetica Neue"/>
          <w:color w:val="000000"/>
          <w:sz w:val="22"/>
          <w:szCs w:val="22"/>
          <w:rtl w:val="0"/>
        </w:rPr>
        <w:t xml:space="preserve"> client engage</w:t>
      </w:r>
      <w:r w:rsidDel="00000000" w:rsidR="00000000" w:rsidRPr="00000000">
        <w:rPr>
          <w:rFonts w:ascii="Helvetica Neue" w:cs="Helvetica Neue" w:eastAsia="Helvetica Neue" w:hAnsi="Helvetica Neue"/>
          <w:sz w:val="22"/>
          <w:szCs w:val="22"/>
          <w:rtl w:val="0"/>
        </w:rPr>
        <w:t xml:space="preserve">ment campaigns</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by</w:t>
      </w:r>
      <w:r w:rsidDel="00000000" w:rsidR="00000000" w:rsidRPr="00000000">
        <w:rPr>
          <w:rFonts w:ascii="Helvetica Neue" w:cs="Helvetica Neue" w:eastAsia="Helvetica Neue" w:hAnsi="Helvetica Neue"/>
          <w:color w:val="000000"/>
          <w:sz w:val="22"/>
          <w:szCs w:val="22"/>
          <w:rtl w:val="0"/>
        </w:rPr>
        <w:t xml:space="preserve"> leveraging customer data through </w:t>
      </w:r>
      <w:r w:rsidDel="00000000" w:rsidR="00000000" w:rsidRPr="00000000">
        <w:rPr>
          <w:rFonts w:ascii="Helvetica Neue" w:cs="Helvetica Neue" w:eastAsia="Helvetica Neue" w:hAnsi="Helvetica Neue"/>
          <w:sz w:val="22"/>
          <w:szCs w:val="22"/>
          <w:rtl w:val="0"/>
        </w:rPr>
        <w:t xml:space="preserve">Omni-channel targeting</w:t>
      </w:r>
      <w:r w:rsidDel="00000000" w:rsidR="00000000" w:rsidRPr="00000000">
        <w:rPr>
          <w:rFonts w:ascii="Helvetica Neue" w:cs="Helvetica Neue" w:eastAsia="Helvetica Neue" w:hAnsi="Helvetica Neue"/>
          <w:color w:val="000000"/>
          <w:sz w:val="22"/>
          <w:szCs w:val="22"/>
          <w:rtl w:val="0"/>
        </w:rPr>
        <w:t xml:space="preserve">. Streamlining client </w:t>
      </w:r>
      <w:r w:rsidDel="00000000" w:rsidR="00000000" w:rsidRPr="00000000">
        <w:rPr>
          <w:rFonts w:ascii="Helvetica Neue" w:cs="Helvetica Neue" w:eastAsia="Helvetica Neue" w:hAnsi="Helvetica Neue"/>
          <w:sz w:val="22"/>
          <w:szCs w:val="22"/>
          <w:rtl w:val="0"/>
        </w:rPr>
        <w:t xml:space="preserve">internal processes through t</w:t>
      </w:r>
      <w:r w:rsidDel="00000000" w:rsidR="00000000" w:rsidRPr="00000000">
        <w:rPr>
          <w:rFonts w:ascii="Helvetica Neue" w:cs="Helvetica Neue" w:eastAsia="Helvetica Neue" w:hAnsi="Helvetica Neue"/>
          <w:color w:val="000000"/>
          <w:sz w:val="22"/>
          <w:szCs w:val="22"/>
          <w:rtl w:val="0"/>
        </w:rPr>
        <w:t xml:space="preserve">actical </w:t>
      </w:r>
      <w:r w:rsidDel="00000000" w:rsidR="00000000" w:rsidRPr="00000000">
        <w:rPr>
          <w:rFonts w:ascii="Helvetica Neue" w:cs="Helvetica Neue" w:eastAsia="Helvetica Neue" w:hAnsi="Helvetica Neue"/>
          <w:sz w:val="22"/>
          <w:szCs w:val="22"/>
          <w:rtl w:val="0"/>
        </w:rPr>
        <w:t xml:space="preserve">o</w:t>
      </w:r>
      <w:r w:rsidDel="00000000" w:rsidR="00000000" w:rsidRPr="00000000">
        <w:rPr>
          <w:rFonts w:ascii="Helvetica Neue" w:cs="Helvetica Neue" w:eastAsia="Helvetica Neue" w:hAnsi="Helvetica Neue"/>
          <w:color w:val="000000"/>
          <w:sz w:val="22"/>
          <w:szCs w:val="22"/>
          <w:rtl w:val="0"/>
        </w:rPr>
        <w:t xml:space="preserve">ptimis</w:t>
      </w:r>
      <w:r w:rsidDel="00000000" w:rsidR="00000000" w:rsidRPr="00000000">
        <w:rPr>
          <w:rFonts w:ascii="Helvetica Neue" w:cs="Helvetica Neue" w:eastAsia="Helvetica Neue" w:hAnsi="Helvetica Neue"/>
          <w:sz w:val="22"/>
          <w:szCs w:val="22"/>
          <w:rtl w:val="0"/>
        </w:rPr>
        <w:t xml:space="preserve">ation of</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customer</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journeys</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and</w:t>
      </w:r>
      <w:r w:rsidDel="00000000" w:rsidR="00000000" w:rsidRPr="00000000">
        <w:rPr>
          <w:rFonts w:ascii="Helvetica Neue" w:cs="Helvetica Neue" w:eastAsia="Helvetica Neue" w:hAnsi="Helvetica Neue"/>
          <w:color w:val="000000"/>
          <w:sz w:val="22"/>
          <w:szCs w:val="22"/>
          <w:rtl w:val="0"/>
        </w:rPr>
        <w:t xml:space="preserve"> implement</w:t>
      </w:r>
      <w:r w:rsidDel="00000000" w:rsidR="00000000" w:rsidRPr="00000000">
        <w:rPr>
          <w:rFonts w:ascii="Helvetica Neue" w:cs="Helvetica Neue" w:eastAsia="Helvetica Neue" w:hAnsi="Helvetica Neue"/>
          <w:sz w:val="22"/>
          <w:szCs w:val="22"/>
          <w:rtl w:val="0"/>
        </w:rPr>
        <w:t xml:space="preserve">ation of</w:t>
      </w:r>
      <w:r w:rsidDel="00000000" w:rsidR="00000000" w:rsidRPr="00000000">
        <w:rPr>
          <w:rFonts w:ascii="Helvetica Neue" w:cs="Helvetica Neue" w:eastAsia="Helvetica Neue" w:hAnsi="Helvetica Neue"/>
          <w:color w:val="000000"/>
          <w:sz w:val="22"/>
          <w:szCs w:val="22"/>
          <w:rtl w:val="0"/>
        </w:rPr>
        <w:t xml:space="preserve"> triggered and automated programmes.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color w:val="000000"/>
          <w:sz w:val="22"/>
          <w:szCs w:val="22"/>
        </w:rPr>
      </w:pPr>
      <w:r w:rsidDel="00000000" w:rsidR="00000000" w:rsidRPr="00000000">
        <w:rPr>
          <w:rFonts w:ascii="Helvetica Neue" w:cs="Helvetica Neue" w:eastAsia="Helvetica Neue" w:hAnsi="Helvetica Neue"/>
          <w:i w:val="1"/>
          <w:color w:val="000000"/>
          <w:sz w:val="22"/>
          <w:szCs w:val="22"/>
          <w:rtl w:val="0"/>
        </w:rPr>
        <w:t xml:space="preserve">Agency: B2B, B2C, Charity, Retail, Telecoms, Real Estate, Travel &amp; Tourism, Publishing</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color w:val="000000"/>
          <w:sz w:val="22"/>
          <w:szCs w:val="22"/>
        </w:rPr>
      </w:pPr>
      <w:r w:rsidDel="00000000" w:rsidR="00000000" w:rsidRPr="00000000">
        <w:rPr>
          <w:rFonts w:ascii="Helvetica Neue" w:cs="Helvetica Neue" w:eastAsia="Helvetica Neue" w:hAnsi="Helvetica Neue"/>
          <w:i w:val="1"/>
          <w:color w:val="000000"/>
          <w:sz w:val="22"/>
          <w:szCs w:val="22"/>
          <w:rtl w:val="0"/>
        </w:rPr>
        <w:t xml:space="preserve">Key Clients: Greggs; Capital &amp; Counties; TalkTalk, Debenhams, Claire’s, Champneys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Acxiom; </w:t>
        <w:tab/>
        <w:t xml:space="preserve">Client Program Manager</w:t>
      </w:r>
      <w:r w:rsidDel="00000000" w:rsidR="00000000" w:rsidRPr="00000000">
        <w:rPr>
          <w:rFonts w:ascii="Helvetica Neue" w:cs="Helvetica Neue" w:eastAsia="Helvetica Neue" w:hAnsi="Helvetica Neue"/>
          <w:b w:val="1"/>
          <w:i w:val="1"/>
          <w:sz w:val="22"/>
          <w:szCs w:val="22"/>
          <w:rtl w:val="0"/>
        </w:rPr>
        <w:tab/>
      </w:r>
      <w:r w:rsidDel="00000000" w:rsidR="00000000" w:rsidRPr="00000000">
        <w:rPr>
          <w:rFonts w:ascii="Helvetica Neue" w:cs="Helvetica Neue" w:eastAsia="Helvetica Neue" w:hAnsi="Helvetica Neue"/>
          <w:i w:val="1"/>
          <w:sz w:val="22"/>
          <w:szCs w:val="22"/>
          <w:rtl w:val="0"/>
        </w:rPr>
        <w:t xml:space="preserve"> </w:t>
        <w:tab/>
      </w:r>
      <w:r w:rsidDel="00000000" w:rsidR="00000000" w:rsidRPr="00000000">
        <w:rPr>
          <w:rFonts w:ascii="Helvetica Neue" w:cs="Helvetica Neue" w:eastAsia="Helvetica Neue" w:hAnsi="Helvetica Neue"/>
          <w:b w:val="1"/>
          <w:sz w:val="22"/>
          <w:szCs w:val="22"/>
          <w:rtl w:val="0"/>
        </w:rPr>
        <w:t xml:space="preserve">May 2014 – April 2015</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Providing behavioural insights to clients by harnessing customer data and analytics. An international role spanning 4 continents, the role required diligence, patience and strategic foresight to scope, manage and deliver multiple email marketing programs whilst engaging internal and senior stakeholders and delivering against KPIs across multiple time zones.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Agency: B2C, Telecoms, Digital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Key Account: Microsoft – Skype, Office365, XBox</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sz w:val="22"/>
          <w:szCs w:val="22"/>
          <w:rtl w:val="0"/>
        </w:rPr>
        <w:t xml:space="preserve">MRM Meteorite Worldwide; </w:t>
        <w:tab/>
        <w:t xml:space="preserve">Email Marketing Manager</w:t>
      </w:r>
      <w:r w:rsidDel="00000000" w:rsidR="00000000" w:rsidRPr="00000000">
        <w:rPr>
          <w:rFonts w:ascii="Helvetica Neue" w:cs="Helvetica Neue" w:eastAsia="Helvetica Neue" w:hAnsi="Helvetica Neue"/>
          <w:i w:val="1"/>
          <w:sz w:val="22"/>
          <w:szCs w:val="22"/>
          <w:rtl w:val="0"/>
        </w:rPr>
        <w:t xml:space="preserve">, </w:t>
      </w:r>
      <w:r w:rsidDel="00000000" w:rsidR="00000000" w:rsidRPr="00000000">
        <w:rPr>
          <w:rFonts w:ascii="Helvetica Neue" w:cs="Helvetica Neue" w:eastAsia="Helvetica Neue" w:hAnsi="Helvetica Neue"/>
          <w:b w:val="1"/>
          <w:i w:val="1"/>
          <w:sz w:val="22"/>
          <w:szCs w:val="22"/>
          <w:rtl w:val="0"/>
        </w:rPr>
        <w:t xml:space="preserve">Nov 2012 – April 2014</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Management and responsibility of client accounts including project and campaign deployment, customer data segmentation, content strategy, UAT and KPI reporting.</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Agency: B2C, IT, Automotive, Retail, Insurance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Key Accounts: Direct Line Group, Costa Coffee, Argos, Dell, Vauxhall Motors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sz w:val="22"/>
          <w:szCs w:val="22"/>
          <w:highlight w:val="white"/>
        </w:rPr>
      </w:pPr>
      <w:bookmarkStart w:colFirst="0" w:colLast="0" w:name="_w35294i9v4n1" w:id="0"/>
      <w:bookmarkEnd w:id="0"/>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highlight w:val="white"/>
          <w:u w:val="single"/>
        </w:rPr>
      </w:pPr>
      <w:bookmarkStart w:colFirst="0" w:colLast="0" w:name="_pn1613ahip4y" w:id="1"/>
      <w:bookmarkEnd w:id="1"/>
      <w:r w:rsidDel="00000000" w:rsidR="00000000" w:rsidRPr="00000000">
        <w:rPr>
          <w:rFonts w:ascii="Helvetica Neue" w:cs="Helvetica Neue" w:eastAsia="Helvetica Neue" w:hAnsi="Helvetica Neue"/>
          <w:color w:val="000000"/>
          <w:sz w:val="22"/>
          <w:szCs w:val="22"/>
          <w:highlight w:val="white"/>
          <w:rtl w:val="0"/>
        </w:rPr>
        <w:tab/>
        <w:tab/>
        <w:tab/>
        <w:t xml:space="preserve">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highlight w:val="white"/>
          <w:u w:val="single"/>
        </w:rPr>
      </w:pPr>
      <w:r w:rsidDel="00000000" w:rsidR="00000000" w:rsidRPr="00000000">
        <w:rPr>
          <w:rFonts w:ascii="Helvetica Neue" w:cs="Helvetica Neue" w:eastAsia="Helvetica Neue" w:hAnsi="Helvetica Neue"/>
          <w:b w:val="1"/>
          <w:color w:val="000000"/>
          <w:highlight w:val="white"/>
          <w:u w:val="single"/>
          <w:rtl w:val="0"/>
        </w:rPr>
        <w:t xml:space="preserve">Education and Qualifications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MCIM - Member of the Chartered Institute of Marketing</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University of Greenwich:  B.A. (Hon’s) Business &amp; Marketing Communications (2:1)</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b w:val="1"/>
          <w:color w:val="000000"/>
          <w:highlight w:val="white"/>
          <w:u w:val="single"/>
        </w:rPr>
      </w:pPr>
      <w:r w:rsidDel="00000000" w:rsidR="00000000" w:rsidRPr="00000000">
        <w:rPr>
          <w:rFonts w:ascii="Helvetica Neue" w:cs="Helvetica Neue" w:eastAsia="Helvetica Neue" w:hAnsi="Helvetica Neue"/>
          <w:color w:val="000000"/>
          <w:sz w:val="20"/>
          <w:szCs w:val="20"/>
          <w:highlight w:val="white"/>
          <w:rtl w:val="0"/>
        </w:rPr>
        <w:br w:type="textWrapping"/>
      </w:r>
      <w:r w:rsidDel="00000000" w:rsidR="00000000" w:rsidRPr="00000000">
        <w:rPr>
          <w:rFonts w:ascii="Helvetica Neue" w:cs="Helvetica Neue" w:eastAsia="Helvetica Neue" w:hAnsi="Helvetica Neue"/>
          <w:b w:val="1"/>
          <w:color w:val="000000"/>
          <w:highlight w:val="white"/>
          <w:u w:val="single"/>
          <w:rtl w:val="0"/>
        </w:rPr>
        <w:t xml:space="preserve">Languages &amp; Skills</w:t>
      </w: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Excellent English and Cantonese</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Proficiency in MS Office &amp; other Windows applications;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color w:val="000000"/>
          <w:sz w:val="22"/>
          <w:szCs w:val="22"/>
          <w:highlight w:val="white"/>
        </w:rPr>
      </w:pPr>
      <w:r w:rsidDel="00000000" w:rsidR="00000000" w:rsidRPr="00000000">
        <w:rPr>
          <w:rFonts w:ascii="Helvetica Neue" w:cs="Helvetica Neue" w:eastAsia="Helvetica Neue" w:hAnsi="Helvetica Neue"/>
          <w:color w:val="000000"/>
          <w:sz w:val="22"/>
          <w:szCs w:val="22"/>
          <w:highlight w:val="white"/>
          <w:rtl w:val="0"/>
        </w:rPr>
        <w:t xml:space="preserve">Light user in Adobe CS Suite inc. InDesign, Illustrator, Photoshop and Dreamweaver &amp; HTML</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sz w:val="22"/>
          <w:szCs w:val="22"/>
          <w:highlight w:val="white"/>
          <w:u w:val="single"/>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highlight w:val="white"/>
          <w:u w:val="single"/>
          <w:rtl w:val="0"/>
        </w:rPr>
        <w:t xml:space="preserve">References upon request</w:t>
      </w:r>
      <w:r w:rsidDel="00000000" w:rsidR="00000000" w:rsidRPr="00000000">
        <w:rPr>
          <w:rtl w:val="0"/>
        </w:rPr>
      </w:r>
    </w:p>
    <w:sectPr>
      <w:pgSz w:h="142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kaltan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