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ngLiU" w:hAnsi="MingLiU"/>
          <w:b/>
          <w:sz w:val="26"/>
          <w:eastAsia w:val="MingLiU"/>
        </w:rPr>
        <w:t>聖公會呂明才中學</w:t>
      </w:r>
      <w:r>
        <w:br/>
      </w:r>
      <w:r>
        <w:rPr>
          <w:rFonts w:ascii="MingLiU" w:hAnsi="MingLiU"/>
          <w:b w:val="0"/>
          <w:sz w:val="26"/>
          <w:eastAsia w:val="MingLiU"/>
        </w:rPr>
        <w:t>S.K.H. Lui Ming Choi Secondary School</w:t>
      </w:r>
    </w:p>
    <w:p>
      <w:pPr>
        <w:spacing w:after="40" w:before="0"/>
        <w:jc w:val="center"/>
      </w:pPr>
      <w:r>
        <w:rPr>
          <w:rFonts w:ascii="MingLiU" w:hAnsi="MingLiU"/>
          <w:b w:val="0"/>
          <w:sz w:val="22"/>
          <w:eastAsia w:val="MingLiU"/>
        </w:rPr>
        <w:t>創科班（Little Makers Class）</w:t>
      </w:r>
    </w:p>
    <w:p>
      <w:pPr>
        <w:spacing w:after="40" w:before="0"/>
        <w:jc w:val="center"/>
      </w:pPr>
      <w:r>
        <w:rPr>
          <w:rFonts w:ascii="MingLiU" w:hAnsi="MingLiU"/>
          <w:b w:val="0"/>
          <w:sz w:val="22"/>
          <w:eastAsia w:val="MingLiU"/>
        </w:rPr>
        <w:t>S2 Unit 1：進階創科人</w:t>
      </w:r>
      <w:r>
        <w:br/>
      </w:r>
      <w:r>
        <w:rPr>
          <w:rFonts w:ascii="MingLiU" w:hAnsi="MingLiU"/>
          <w:b w:val="0"/>
          <w:color w:val="444444"/>
          <w:sz w:val="20"/>
          <w:eastAsia w:val="MingLiU"/>
        </w:rPr>
        <w:t>S2 Unit 1: Advanced Innovators</w:t>
      </w:r>
    </w:p>
    <w:p>
      <w:pPr>
        <w:spacing w:after="40" w:before="0"/>
        <w:jc w:val="center"/>
      </w:pPr>
      <w:r>
        <w:rPr>
          <w:rFonts w:ascii="MingLiU" w:hAnsi="MingLiU"/>
          <w:b w:val="0"/>
          <w:sz w:val="22"/>
          <w:eastAsia w:val="MingLiU"/>
        </w:rPr>
        <w:t>第二堂</w:t>
      </w:r>
    </w:p>
    <w:p>
      <w:pPr>
        <w:spacing w:after="120" w:before="0"/>
        <w:jc w:val="center"/>
      </w:pPr>
      <w:r>
        <w:rPr>
          <w:rFonts w:ascii="MingLiU" w:hAnsi="MingLiU"/>
          <w:b/>
          <w:sz w:val="32"/>
          <w:eastAsia w:val="MingLiU"/>
        </w:rPr>
        <w:t>深入認識弱勢社群</w:t>
      </w:r>
      <w:r>
        <w:br/>
      </w:r>
      <w:r>
        <w:rPr>
          <w:rFonts w:ascii="MingLiU" w:hAnsi="MingLiU"/>
          <w:b w:val="0"/>
          <w:color w:val="333333"/>
          <w:sz w:val="26"/>
          <w:eastAsia w:val="MingLiU"/>
        </w:rPr>
        <w:t>Understanding Vulnerable Groups in Depth</w:t>
      </w:r>
    </w:p>
    <w:p>
      <w:pPr>
        <w:spacing w:after="200" w:before="0"/>
        <w:jc w:val="center"/>
      </w:pPr>
      <w:r>
        <w:rPr>
          <w:rFonts w:ascii="MingLiU" w:hAnsi="MingLiU"/>
          <w:b/>
          <w:sz w:val="26"/>
          <w:eastAsia w:val="MingLiU"/>
        </w:rPr>
        <w:t>【評分準則】</w:t>
      </w:r>
      <w:r>
        <w:br/>
      </w:r>
      <w:r>
        <w:rPr>
          <w:rFonts w:ascii="MingLiU" w:hAnsi="MingLiU"/>
          <w:b w:val="0"/>
          <w:color w:val="333333"/>
          <w:sz w:val="22"/>
          <w:eastAsia w:val="MingLiU"/>
        </w:rPr>
        <w:t>[Marking Rubric]</w:t>
      </w:r>
    </w:p>
    <w:p>
      <w:pPr>
        <w:spacing w:after="80" w:before="0"/>
      </w:pPr>
      <w:r>
        <w:rPr>
          <w:rFonts w:ascii="MingLiU" w:hAnsi="MingLiU"/>
          <w:b/>
          <w:sz w:val="24"/>
          <w:eastAsia w:val="MingLiU"/>
        </w:rPr>
        <w:t>評分表一：訪問提綱（總分 20 分）</w:t>
      </w:r>
      <w:r>
        <w:br/>
      </w:r>
      <w:r>
        <w:rPr>
          <w:rFonts w:ascii="MingLiU" w:hAnsi="MingLiU"/>
          <w:b w:val="0"/>
          <w:color w:val="444444"/>
          <w:sz w:val="22"/>
          <w:eastAsia w:val="MingLiU"/>
        </w:rPr>
        <w:t>Rubric 1: Interview outline (20 marks)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評分項目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Criterion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滿分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Full marks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評分說明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Descriptors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問題數量達八條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Eight questions included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4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4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4 分：八條或以上</w:t>
              <w:br/>
              <w:t>2 分：五至七條</w:t>
              <w:br/>
              <w:t>0 分：四條或以下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4: eight or more</w:t>
              <w:br/>
              <w:t>2: five to seven</w:t>
              <w:br/>
              <w:t>0: four or fewer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開放式問題至少五條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At least five open-ended questions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6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6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6 分：五條或以上</w:t>
              <w:br/>
              <w:t>3–4 分：三至四條</w:t>
              <w:br/>
              <w:t>0–2 分：兩條或以下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6: five or more</w:t>
              <w:br/>
              <w:t>3–4: three to four</w:t>
              <w:br/>
              <w:t>0–2: two or fewer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用詞恰當、具同理心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Appropriate, empathetic wording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6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6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6 分：全部用詞恰當</w:t>
              <w:br/>
              <w:t>3–5 分：大致恰當，少量生硬</w:t>
              <w:br/>
              <w:t>0–2 分：多處用詞不當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6: all wording appropriate</w:t>
              <w:br/>
              <w:t>3–5: mostly appropriate, some awkward</w:t>
              <w:br/>
              <w:t>0–2: many inappropriate wordings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無引導性、冒犯性問題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No leading or offensive questions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4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4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4 分：完全沒有</w:t>
              <w:br/>
              <w:t>2 分：有一條</w:t>
              <w:br/>
              <w:t>0 分：多於一條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4: none</w:t>
              <w:br/>
              <w:t>2: one</w:t>
              <w:br/>
              <w:t>0: more than one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MingLiU" w:hAnsi="MingLiU"/>
          <w:b/>
          <w:sz w:val="24"/>
          <w:eastAsia w:val="MingLiU"/>
        </w:rPr>
        <w:t>評分表二：角色扮演觀察表（總分 20 分）</w:t>
      </w:r>
      <w:r>
        <w:br/>
      </w:r>
      <w:r>
        <w:rPr>
          <w:rFonts w:ascii="MingLiU" w:hAnsi="MingLiU"/>
          <w:b w:val="0"/>
          <w:color w:val="444444"/>
          <w:sz w:val="22"/>
          <w:eastAsia w:val="MingLiU"/>
        </w:rPr>
        <w:t>Rubric 2: Role-play observation (20 marks)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評分項目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Criterion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滿分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Full marks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評分說明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Descriptors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提出開放式問題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Asking open-ended questions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4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4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4 分：全程使用</w:t>
              <w:br/>
              <w:t>2–3 分：間中使用</w:t>
              <w:br/>
              <w:t>0–1 分：沒有使用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4: used throughout</w:t>
              <w:br/>
              <w:t>2–3: used occasionally</w:t>
              <w:br/>
              <w:t>0–1: not used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專心聆聽（眼神接觸、點頭回應）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Attentive listening (eye contact, nodding)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4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4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4 分：表現明顯</w:t>
              <w:br/>
              <w:t>2–3 分：間中有</w:t>
              <w:br/>
              <w:t>0–1 分：沒有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4: clearly shown</w:t>
              <w:br/>
              <w:t>2–3: occasionally</w:t>
              <w:br/>
              <w:t>0–1: not shown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不打斷對方說話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Not interrupting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4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4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4 分：全程沒有打斷</w:t>
              <w:br/>
              <w:t>2–3 分：打斷一至兩次</w:t>
              <w:br/>
              <w:t>0–1 分：多次打斷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4: never interrupted</w:t>
              <w:br/>
              <w:t>2–3: interrupted once or twice</w:t>
              <w:br/>
              <w:t>0–1: interrupted repeatedly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尊重私隱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Respecting privacy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4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4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4 分：有徵得同意，不追問敏感話題</w:t>
              <w:br/>
              <w:t>0–2 分：未徵得同意或追問敏感話題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4: consent sought; no probing of sensitive topics</w:t>
              <w:br/>
              <w:t>0–2: no consent or probed sensitive topics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整體態度恰當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Appropriate overall manner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4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4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MingLiU" w:hAnsi="MingLiU"/>
                <w:b w:val="0"/>
                <w:sz w:val="20"/>
                <w:eastAsia w:val="MingLiU"/>
              </w:rPr>
              <w:t>4 分：有禮、專注</w:t>
              <w:br/>
              <w:t>2–3 分：大致恰當</w:t>
              <w:br/>
              <w:t>0–1 分：態度輕浮或不耐煩</w:t>
            </w:r>
            <w:r>
              <w:br/>
            </w:r>
            <w:r>
              <w:rPr>
                <w:rFonts w:ascii="MingLiU" w:hAnsi="MingLiU"/>
                <w:b w:val="0"/>
                <w:color w:val="444444"/>
                <w:sz w:val="18"/>
                <w:eastAsia w:val="MingLiU"/>
              </w:rPr>
              <w:t>4: polite and focused</w:t>
              <w:br/>
              <w:t>2–3: generally appropriate</w:t>
              <w:br/>
              <w:t>0–1: flippant or impatient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