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第三堂</w:t>
      </w:r>
    </w:p>
    <w:p>
      <w:pPr>
        <w:spacing w:after="120" w:before="0"/>
        <w:jc w:val="center"/>
      </w:pPr>
      <w:r>
        <w:rPr>
          <w:rFonts w:ascii="MingLiU" w:hAnsi="MingLiU"/>
          <w:b/>
          <w:sz w:val="32"/>
          <w:eastAsia w:val="MingLiU"/>
        </w:rPr>
        <w:t>從同情到同理</w:t>
      </w:r>
      <w:r>
        <w:br/>
      </w:r>
      <w:r>
        <w:rPr>
          <w:rFonts w:ascii="MingLiU" w:hAnsi="MingLiU"/>
          <w:b w:val="0"/>
          <w:color w:val="333333"/>
          <w:sz w:val="26"/>
          <w:eastAsia w:val="MingLiU"/>
        </w:rPr>
        <w:t>From Sympathy to Empathy</w:t>
      </w:r>
    </w:p>
    <w:p>
      <w:pPr>
        <w:spacing w:after="200" w:before="0"/>
        <w:jc w:val="center"/>
      </w:pPr>
      <w:r>
        <w:rPr>
          <w:rFonts w:ascii="MingLiU" w:hAnsi="MingLiU"/>
          <w:b/>
          <w:sz w:val="26"/>
          <w:eastAsia w:val="MingLiU"/>
        </w:rPr>
        <w:t>【家課】</w:t>
      </w:r>
      <w:r>
        <w:br/>
      </w:r>
      <w:r>
        <w:rPr>
          <w:rFonts w:ascii="MingLiU" w:hAnsi="MingLiU"/>
          <w:b w:val="0"/>
          <w:color w:val="333333"/>
          <w:sz w:val="22"/>
          <w:eastAsia w:val="MingLiU"/>
        </w:rPr>
        <w:t>[Homework]</w:t>
      </w:r>
    </w:p>
    <w:p>
      <w:pPr>
        <w:spacing w:after="160" w:before="0"/>
      </w:pPr>
      <w:r>
        <w:rPr>
          <w:rFonts w:ascii="MingLiU" w:hAnsi="MingLiU"/>
          <w:b w:val="0"/>
          <w:sz w:val="20"/>
          <w:eastAsia w:val="MingLiU"/>
        </w:rPr>
        <w:t>姓名：____________________　班別：________　學號：________　日期：____________</w:t>
      </w:r>
      <w:r>
        <w:br/>
      </w:r>
      <w:r>
        <w:rPr>
          <w:rFonts w:ascii="MingLiU" w:hAnsi="MingLiU"/>
          <w:b w:val="0"/>
          <w:color w:val="444444"/>
          <w:sz w:val="18"/>
          <w:eastAsia w:val="MingLiU"/>
        </w:rPr>
        <w:t>Name: ____________________  Class: ________  No.: ________  Date: ____________</w:t>
      </w:r>
    </w:p>
    <w:p>
      <w:pPr>
        <w:spacing w:after="120" w:before="0"/>
      </w:pPr>
      <w:r>
        <w:rPr>
          <w:rFonts w:ascii="MingLiU" w:hAnsi="MingLiU"/>
          <w:b/>
          <w:sz w:val="28"/>
          <w:eastAsia w:val="MingLiU"/>
        </w:rPr>
        <w:t>家課題目</w:t>
      </w:r>
      <w:r>
        <w:br/>
      </w:r>
      <w:r>
        <w:rPr>
          <w:rFonts w:ascii="MingLiU" w:hAnsi="MingLiU"/>
          <w:b w:val="0"/>
          <w:color w:val="333333"/>
          <w:sz w:val="24"/>
          <w:eastAsia w:val="MingLiU"/>
        </w:rPr>
        <w:t>Homework questions</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2-l03-a.png"/>
                    <pic:cNvPicPr/>
                  </pic:nvPicPr>
                  <pic:blipFill>
                    <a:blip r:embed="rId9"/>
                    <a:stretch>
                      <a:fillRect/>
                    </a:stretch>
                  </pic:blipFill>
                  <pic:spPr>
                    <a:xfrm>
                      <a:off x="0" y="0"/>
                      <a:ext cx="3600000" cy="2400000"/>
                    </a:xfrm>
                    <a:prstGeom prst="rect"/>
                  </pic:spPr>
                </pic:pic>
              </a:graphicData>
            </a:graphic>
          </wp:inline>
        </w:drawing>
      </w:r>
    </w:p>
    <w:p>
      <w:pPr>
        <w:spacing w:after="80" w:before="0"/>
      </w:pPr>
      <w:r>
        <w:rPr>
          <w:rFonts w:ascii="MingLiU" w:hAnsi="MingLiU"/>
          <w:b w:val="0"/>
          <w:sz w:val="20"/>
          <w:eastAsia w:val="MingLiU"/>
        </w:rPr>
        <w:t>（答案請勿寫在此檔；參考答案見教師筆記。）</w:t>
      </w:r>
      <w:r>
        <w:br/>
      </w:r>
      <w:r>
        <w:rPr>
          <w:rFonts w:ascii="MingLiU" w:hAnsi="MingLiU"/>
          <w:b w:val="0"/>
          <w:color w:val="666666"/>
          <w:sz w:val="18"/>
          <w:eastAsia w:val="MingLiU"/>
        </w:rPr>
        <w:t>(Do not write answers here; see the teacher notes for reference answers.)</w:t>
      </w:r>
    </w:p>
    <w:p>
      <w:pPr>
        <w:spacing w:after="80" w:before="0"/>
      </w:pPr>
      <w:r>
        <w:rPr>
          <w:rFonts w:ascii="MingLiU" w:hAnsi="MingLiU"/>
          <w:b/>
          <w:sz w:val="24"/>
          <w:eastAsia w:val="MingLiU"/>
        </w:rPr>
        <w:t>甲部：選擇題</w:t>
      </w:r>
      <w:r>
        <w:br/>
      </w:r>
      <w:r>
        <w:rPr>
          <w:rFonts w:ascii="MingLiU" w:hAnsi="MingLiU"/>
          <w:b w:val="0"/>
          <w:color w:val="444444"/>
          <w:sz w:val="22"/>
          <w:eastAsia w:val="MingLiU"/>
        </w:rPr>
        <w:t>Section A: Multiple choice</w:t>
      </w:r>
    </w:p>
    <w:p>
      <w:pPr>
        <w:spacing w:after="40" w:before="0"/>
      </w:pPr>
      <w:r>
        <w:rPr>
          <w:rFonts w:ascii="MingLiU" w:hAnsi="MingLiU"/>
          <w:b w:val="0"/>
          <w:sz w:val="22"/>
          <w:eastAsia w:val="MingLiU"/>
        </w:rPr>
        <w:t>1. 「同情」與「同理」的主要分別在於？</w:t>
      </w:r>
      <w:r>
        <w:br/>
      </w:r>
      <w:r>
        <w:rPr>
          <w:rFonts w:ascii="MingLiU" w:hAnsi="MingLiU"/>
          <w:b w:val="0"/>
          <w:color w:val="444444"/>
          <w:sz w:val="20"/>
          <w:eastAsia w:val="MingLiU"/>
        </w:rPr>
        <w:t>1. What is the main difference between "sympathy" and "empathy"?</w:t>
      </w:r>
    </w:p>
    <w:p>
      <w:pPr>
        <w:spacing w:after="20" w:before="0"/>
      </w:pPr>
      <w:r>
        <w:rPr>
          <w:rFonts w:ascii="MingLiU" w:hAnsi="MingLiU"/>
          <w:b w:val="0"/>
          <w:sz w:val="20"/>
          <w:eastAsia w:val="MingLiU"/>
        </w:rPr>
        <w:t xml:space="preserve">　(A) 有沒有流淚</w:t>
      </w:r>
      <w:r>
        <w:br/>
      </w:r>
      <w:r>
        <w:rPr>
          <w:rFonts w:ascii="MingLiU" w:hAnsi="MingLiU"/>
          <w:b w:val="0"/>
          <w:color w:val="444444"/>
          <w:sz w:val="18"/>
          <w:eastAsia w:val="MingLiU"/>
        </w:rPr>
        <w:t xml:space="preserve">　(A) Whether one cries</w:t>
      </w:r>
    </w:p>
    <w:p>
      <w:pPr>
        <w:spacing w:after="20" w:before="0"/>
      </w:pPr>
      <w:r>
        <w:rPr>
          <w:rFonts w:ascii="MingLiU" w:hAnsi="MingLiU"/>
          <w:b w:val="0"/>
          <w:sz w:val="20"/>
          <w:eastAsia w:val="MingLiU"/>
        </w:rPr>
        <w:t xml:space="preserve">　(B) 出發點是憐憫還是理解</w:t>
      </w:r>
      <w:r>
        <w:br/>
      </w:r>
      <w:r>
        <w:rPr>
          <w:rFonts w:ascii="MingLiU" w:hAnsi="MingLiU"/>
          <w:b w:val="0"/>
          <w:color w:val="444444"/>
          <w:sz w:val="18"/>
          <w:eastAsia w:val="MingLiU"/>
        </w:rPr>
        <w:t xml:space="preserve">　(B) Whether the starting point is pity or understanding</w:t>
      </w:r>
    </w:p>
    <w:p>
      <w:pPr>
        <w:spacing w:after="20" w:before="0"/>
      </w:pPr>
      <w:r>
        <w:rPr>
          <w:rFonts w:ascii="MingLiU" w:hAnsi="MingLiU"/>
          <w:b w:val="0"/>
          <w:sz w:val="20"/>
          <w:eastAsia w:val="MingLiU"/>
        </w:rPr>
        <w:t xml:space="preserve">　(C) 認識對方多久</w:t>
      </w:r>
      <w:r>
        <w:br/>
      </w:r>
      <w:r>
        <w:rPr>
          <w:rFonts w:ascii="MingLiU" w:hAnsi="MingLiU"/>
          <w:b w:val="0"/>
          <w:color w:val="444444"/>
          <w:sz w:val="18"/>
          <w:eastAsia w:val="MingLiU"/>
        </w:rPr>
        <w:t xml:space="preserve">　(C) How long one has known the other</w:t>
      </w:r>
    </w:p>
    <w:p>
      <w:pPr>
        <w:spacing w:after="20" w:before="0"/>
      </w:pPr>
      <w:r>
        <w:rPr>
          <w:rFonts w:ascii="MingLiU" w:hAnsi="MingLiU"/>
          <w:b w:val="0"/>
          <w:sz w:val="20"/>
          <w:eastAsia w:val="MingLiU"/>
        </w:rPr>
        <w:t xml:space="preserve">　(D) 有沒有捐款</w:t>
      </w:r>
      <w:r>
        <w:br/>
      </w:r>
      <w:r>
        <w:rPr>
          <w:rFonts w:ascii="MingLiU" w:hAnsi="MingLiU"/>
          <w:b w:val="0"/>
          <w:color w:val="444444"/>
          <w:sz w:val="18"/>
          <w:eastAsia w:val="MingLiU"/>
        </w:rPr>
        <w:t xml:space="preserve">　(D) Whether one donates</w:t>
      </w:r>
    </w:p>
    <w:p>
      <w:pPr>
        <w:spacing w:after="120" w:before="0"/>
      </w:pPr>
    </w:p>
    <w:p>
      <w:pPr>
        <w:spacing w:after="40" w:before="0"/>
      </w:pPr>
      <w:r>
        <w:rPr>
          <w:rFonts w:ascii="MingLiU" w:hAnsi="MingLiU"/>
          <w:b w:val="0"/>
          <w:sz w:val="22"/>
          <w:eastAsia w:val="MingLiU"/>
        </w:rPr>
        <w:t>2. 個案分析框架不包括以下哪一欄？</w:t>
      </w:r>
      <w:r>
        <w:br/>
      </w:r>
      <w:r>
        <w:rPr>
          <w:rFonts w:ascii="MingLiU" w:hAnsi="MingLiU"/>
          <w:b w:val="0"/>
          <w:color w:val="444444"/>
          <w:sz w:val="20"/>
          <w:eastAsia w:val="MingLiU"/>
        </w:rPr>
        <w:t>2. Which column is NOT part of the case-analysis framework?</w:t>
      </w:r>
    </w:p>
    <w:p>
      <w:pPr>
        <w:spacing w:after="20" w:before="0"/>
      </w:pPr>
      <w:r>
        <w:rPr>
          <w:rFonts w:ascii="MingLiU" w:hAnsi="MingLiU"/>
          <w:b w:val="0"/>
          <w:sz w:val="20"/>
          <w:eastAsia w:val="MingLiU"/>
        </w:rPr>
        <w:t xml:space="preserve">　(A) 使用者需要</w:t>
      </w:r>
      <w:r>
        <w:br/>
      </w:r>
      <w:r>
        <w:rPr>
          <w:rFonts w:ascii="MingLiU" w:hAnsi="MingLiU"/>
          <w:b w:val="0"/>
          <w:color w:val="444444"/>
          <w:sz w:val="18"/>
          <w:eastAsia w:val="MingLiU"/>
        </w:rPr>
        <w:t xml:space="preserve">　(A) User needs</w:t>
      </w:r>
    </w:p>
    <w:p>
      <w:pPr>
        <w:spacing w:after="20" w:before="0"/>
      </w:pPr>
      <w:r>
        <w:rPr>
          <w:rFonts w:ascii="MingLiU" w:hAnsi="MingLiU"/>
          <w:b w:val="0"/>
          <w:sz w:val="20"/>
          <w:eastAsia w:val="MingLiU"/>
        </w:rPr>
        <w:t xml:space="preserve">　(B) 設計回應</w:t>
      </w:r>
      <w:r>
        <w:br/>
      </w:r>
      <w:r>
        <w:rPr>
          <w:rFonts w:ascii="MingLiU" w:hAnsi="MingLiU"/>
          <w:b w:val="0"/>
          <w:color w:val="444444"/>
          <w:sz w:val="18"/>
          <w:eastAsia w:val="MingLiU"/>
        </w:rPr>
        <w:t xml:space="preserve">　(B) Design response</w:t>
      </w:r>
    </w:p>
    <w:p>
      <w:pPr>
        <w:spacing w:after="20" w:before="0"/>
      </w:pPr>
      <w:r>
        <w:rPr>
          <w:rFonts w:ascii="MingLiU" w:hAnsi="MingLiU"/>
          <w:b w:val="0"/>
          <w:sz w:val="20"/>
          <w:eastAsia w:val="MingLiU"/>
        </w:rPr>
        <w:t xml:space="preserve">　(C) 成本計算</w:t>
      </w:r>
      <w:r>
        <w:br/>
      </w:r>
      <w:r>
        <w:rPr>
          <w:rFonts w:ascii="MingLiU" w:hAnsi="MingLiU"/>
          <w:b w:val="0"/>
          <w:color w:val="444444"/>
          <w:sz w:val="18"/>
          <w:eastAsia w:val="MingLiU"/>
        </w:rPr>
        <w:t xml:space="preserve">　(C) Cost calculation</w:t>
      </w:r>
    </w:p>
    <w:p>
      <w:pPr>
        <w:spacing w:after="20" w:before="0"/>
      </w:pPr>
      <w:r>
        <w:rPr>
          <w:rFonts w:ascii="MingLiU" w:hAnsi="MingLiU"/>
          <w:b w:val="0"/>
          <w:sz w:val="20"/>
          <w:eastAsia w:val="MingLiU"/>
        </w:rPr>
        <w:t xml:space="preserve">　(D) 成效反思</w:t>
      </w:r>
      <w:r>
        <w:br/>
      </w:r>
      <w:r>
        <w:rPr>
          <w:rFonts w:ascii="MingLiU" w:hAnsi="MingLiU"/>
          <w:b w:val="0"/>
          <w:color w:val="444444"/>
          <w:sz w:val="18"/>
          <w:eastAsia w:val="MingLiU"/>
        </w:rPr>
        <w:t xml:space="preserve">　(D) Effectiveness reflection</w:t>
      </w:r>
    </w:p>
    <w:p>
      <w:pPr>
        <w:spacing w:after="120" w:before="0"/>
      </w:pPr>
    </w:p>
    <w:p>
      <w:pPr>
        <w:spacing w:after="40" w:before="0"/>
      </w:pPr>
      <w:r>
        <w:rPr>
          <w:rFonts w:ascii="MingLiU" w:hAnsi="MingLiU"/>
          <w:b w:val="0"/>
          <w:sz w:val="22"/>
          <w:eastAsia w:val="MingLiU"/>
        </w:rPr>
        <w:t>3. 以下哪項設計最能體現同理心？</w:t>
      </w:r>
      <w:r>
        <w:br/>
      </w:r>
      <w:r>
        <w:rPr>
          <w:rFonts w:ascii="MingLiU" w:hAnsi="MingLiU"/>
          <w:b w:val="0"/>
          <w:color w:val="444444"/>
          <w:sz w:val="20"/>
          <w:eastAsia w:val="MingLiU"/>
        </w:rPr>
        <w:t>3. Which design best demonstrates empathy?</w:t>
      </w:r>
    </w:p>
    <w:p>
      <w:pPr>
        <w:spacing w:after="20" w:before="0"/>
      </w:pPr>
      <w:r>
        <w:rPr>
          <w:rFonts w:ascii="MingLiU" w:hAnsi="MingLiU"/>
          <w:b w:val="0"/>
          <w:sz w:val="20"/>
          <w:eastAsia w:val="MingLiU"/>
        </w:rPr>
        <w:t xml:space="preserve">　(A) 在產品加上最新的智能功能，但使用者從不需要</w:t>
      </w:r>
      <w:r>
        <w:br/>
      </w:r>
      <w:r>
        <w:rPr>
          <w:rFonts w:ascii="MingLiU" w:hAnsi="MingLiU"/>
          <w:b w:val="0"/>
          <w:color w:val="444444"/>
          <w:sz w:val="18"/>
          <w:eastAsia w:val="MingLiU"/>
        </w:rPr>
        <w:t xml:space="preserve">　(A) Adding the latest smart features that users never need</w:t>
      </w:r>
    </w:p>
    <w:p>
      <w:pPr>
        <w:spacing w:after="20" w:before="0"/>
      </w:pPr>
      <w:r>
        <w:rPr>
          <w:rFonts w:ascii="MingLiU" w:hAnsi="MingLiU"/>
          <w:b w:val="0"/>
          <w:sz w:val="20"/>
          <w:eastAsia w:val="MingLiU"/>
        </w:rPr>
        <w:t xml:space="preserve">　(B) 點字標籤設於瓶身固定位置，方便視障人士憑觸覺尋找</w:t>
      </w:r>
      <w:r>
        <w:br/>
      </w:r>
      <w:r>
        <w:rPr>
          <w:rFonts w:ascii="MingLiU" w:hAnsi="MingLiU"/>
          <w:b w:val="0"/>
          <w:color w:val="444444"/>
          <w:sz w:val="18"/>
          <w:eastAsia w:val="MingLiU"/>
        </w:rPr>
        <w:t xml:space="preserve">　(B) Placing Braille labels at a fixed position on the container for easy location by touch</w:t>
      </w:r>
    </w:p>
    <w:p>
      <w:pPr>
        <w:spacing w:after="20" w:before="0"/>
      </w:pPr>
      <w:r>
        <w:rPr>
          <w:rFonts w:ascii="MingLiU" w:hAnsi="MingLiU"/>
          <w:b w:val="0"/>
          <w:sz w:val="20"/>
          <w:eastAsia w:val="MingLiU"/>
        </w:rPr>
        <w:t xml:space="preserve">　(C) 產品外殼用上昂貴物料</w:t>
      </w:r>
      <w:r>
        <w:br/>
      </w:r>
      <w:r>
        <w:rPr>
          <w:rFonts w:ascii="MingLiU" w:hAnsi="MingLiU"/>
          <w:b w:val="0"/>
          <w:color w:val="444444"/>
          <w:sz w:val="18"/>
          <w:eastAsia w:val="MingLiU"/>
        </w:rPr>
        <w:t xml:space="preserve">　(C) Using expensive materials for the casing</w:t>
      </w:r>
    </w:p>
    <w:p>
      <w:pPr>
        <w:spacing w:after="20" w:before="0"/>
      </w:pPr>
      <w:r>
        <w:rPr>
          <w:rFonts w:ascii="MingLiU" w:hAnsi="MingLiU"/>
          <w:b w:val="0"/>
          <w:sz w:val="20"/>
          <w:eastAsia w:val="MingLiU"/>
        </w:rPr>
        <w:t xml:space="preserve">　(D) 廣告強調關懷弱勢社群</w:t>
      </w:r>
      <w:r>
        <w:br/>
      </w:r>
      <w:r>
        <w:rPr>
          <w:rFonts w:ascii="MingLiU" w:hAnsi="MingLiU"/>
          <w:b w:val="0"/>
          <w:color w:val="444444"/>
          <w:sz w:val="18"/>
          <w:eastAsia w:val="MingLiU"/>
        </w:rPr>
        <w:t xml:space="preserve">　(D) Advertising that emphasises caring for vulnerable groups</w:t>
      </w:r>
    </w:p>
    <w:p>
      <w:pPr>
        <w:spacing w:after="120" w:before="0"/>
      </w:pPr>
    </w:p>
    <w:p>
      <w:pPr>
        <w:spacing w:after="40" w:before="0"/>
      </w:pPr>
      <w:r>
        <w:rPr>
          <w:rFonts w:ascii="MingLiU" w:hAnsi="MingLiU"/>
          <w:b w:val="0"/>
          <w:sz w:val="22"/>
          <w:eastAsia w:val="MingLiU"/>
        </w:rPr>
        <w:t>4. 蒙眼體驗的正確態度是？</w:t>
      </w:r>
      <w:r>
        <w:br/>
      </w:r>
      <w:r>
        <w:rPr>
          <w:rFonts w:ascii="MingLiU" w:hAnsi="MingLiU"/>
          <w:b w:val="0"/>
          <w:color w:val="444444"/>
          <w:sz w:val="20"/>
          <w:eastAsia w:val="MingLiU"/>
        </w:rPr>
        <w:t>4. What is the correct attitude towards the blindfold experience?</w:t>
      </w:r>
    </w:p>
    <w:p>
      <w:pPr>
        <w:spacing w:after="20" w:before="0"/>
      </w:pPr>
      <w:r>
        <w:rPr>
          <w:rFonts w:ascii="MingLiU" w:hAnsi="MingLiU"/>
          <w:b w:val="0"/>
          <w:sz w:val="20"/>
          <w:eastAsia w:val="MingLiU"/>
        </w:rPr>
        <w:t xml:space="preserve">　(A) 體驗兩分鐘已完全明白視障人士的生活</w:t>
      </w:r>
      <w:r>
        <w:br/>
      </w:r>
      <w:r>
        <w:rPr>
          <w:rFonts w:ascii="MingLiU" w:hAnsi="MingLiU"/>
          <w:b w:val="0"/>
          <w:color w:val="444444"/>
          <w:sz w:val="18"/>
          <w:eastAsia w:val="MingLiU"/>
        </w:rPr>
        <w:t xml:space="preserve">　(A) Two minutes is enough to fully understand their lives</w:t>
      </w:r>
    </w:p>
    <w:p>
      <w:pPr>
        <w:spacing w:after="20" w:before="0"/>
      </w:pPr>
      <w:r>
        <w:rPr>
          <w:rFonts w:ascii="MingLiU" w:hAnsi="MingLiU"/>
          <w:b w:val="0"/>
          <w:sz w:val="20"/>
          <w:eastAsia w:val="MingLiU"/>
        </w:rPr>
        <w:t xml:space="preserve">　(B) 體驗只是反思的起點，不等於真正理解</w:t>
      </w:r>
      <w:r>
        <w:br/>
      </w:r>
      <w:r>
        <w:rPr>
          <w:rFonts w:ascii="MingLiU" w:hAnsi="MingLiU"/>
          <w:b w:val="0"/>
          <w:color w:val="444444"/>
          <w:sz w:val="18"/>
          <w:eastAsia w:val="MingLiU"/>
        </w:rPr>
        <w:t xml:space="preserve">　(B) The experience is only a starting point for reflection, not true understanding</w:t>
      </w:r>
    </w:p>
    <w:p>
      <w:pPr>
        <w:spacing w:after="20" w:before="0"/>
      </w:pPr>
      <w:r>
        <w:rPr>
          <w:rFonts w:ascii="MingLiU" w:hAnsi="MingLiU"/>
          <w:b w:val="0"/>
          <w:sz w:val="20"/>
          <w:eastAsia w:val="MingLiU"/>
        </w:rPr>
        <w:t xml:space="preserve">　(C) 體驗證明視障人士什麼都做不到</w:t>
      </w:r>
      <w:r>
        <w:br/>
      </w:r>
      <w:r>
        <w:rPr>
          <w:rFonts w:ascii="MingLiU" w:hAnsi="MingLiU"/>
          <w:b w:val="0"/>
          <w:color w:val="444444"/>
          <w:sz w:val="18"/>
          <w:eastAsia w:val="MingLiU"/>
        </w:rPr>
        <w:t xml:space="preserve">　(C) It proves visually impaired people can do nothing</w:t>
      </w:r>
    </w:p>
    <w:p>
      <w:pPr>
        <w:spacing w:after="20" w:before="0"/>
      </w:pPr>
      <w:r>
        <w:rPr>
          <w:rFonts w:ascii="MingLiU" w:hAnsi="MingLiU"/>
          <w:b w:val="0"/>
          <w:sz w:val="20"/>
          <w:eastAsia w:val="MingLiU"/>
        </w:rPr>
        <w:t xml:space="preserve">　(D) 體驗後應該同情他們</w:t>
      </w:r>
      <w:r>
        <w:br/>
      </w:r>
      <w:r>
        <w:rPr>
          <w:rFonts w:ascii="MingLiU" w:hAnsi="MingLiU"/>
          <w:b w:val="0"/>
          <w:color w:val="444444"/>
          <w:sz w:val="18"/>
          <w:eastAsia w:val="MingLiU"/>
        </w:rPr>
        <w:t xml:space="preserve">　(D) We should pity them after the experience</w:t>
      </w:r>
    </w:p>
    <w:p>
      <w:pPr>
        <w:spacing w:after="120" w:before="0"/>
      </w:pPr>
    </w:p>
    <w:p>
      <w:pPr>
        <w:spacing w:after="40" w:before="0"/>
      </w:pPr>
      <w:r>
        <w:rPr>
          <w:rFonts w:ascii="MingLiU" w:hAnsi="MingLiU"/>
          <w:b w:val="0"/>
          <w:sz w:val="22"/>
          <w:eastAsia w:val="MingLiU"/>
        </w:rPr>
        <w:t>5. 判斷一件設計是否具同理心，最關鍵的問題是？</w:t>
      </w:r>
      <w:r>
        <w:br/>
      </w:r>
      <w:r>
        <w:rPr>
          <w:rFonts w:ascii="MingLiU" w:hAnsi="MingLiU"/>
          <w:b w:val="0"/>
          <w:color w:val="444444"/>
          <w:sz w:val="20"/>
          <w:eastAsia w:val="MingLiU"/>
        </w:rPr>
        <w:t>5. What is the key question for judging whether a design is empathetic?</w:t>
      </w:r>
    </w:p>
    <w:p>
      <w:pPr>
        <w:spacing w:after="20" w:before="0"/>
      </w:pPr>
      <w:r>
        <w:rPr>
          <w:rFonts w:ascii="MingLiU" w:hAnsi="MingLiU"/>
          <w:b w:val="0"/>
          <w:sz w:val="20"/>
          <w:eastAsia w:val="MingLiU"/>
        </w:rPr>
        <w:t xml:space="preserve">　(A) 用了多先進的科技</w:t>
      </w:r>
      <w:r>
        <w:br/>
      </w:r>
      <w:r>
        <w:rPr>
          <w:rFonts w:ascii="MingLiU" w:hAnsi="MingLiU"/>
          <w:b w:val="0"/>
          <w:color w:val="444444"/>
          <w:sz w:val="18"/>
          <w:eastAsia w:val="MingLiU"/>
        </w:rPr>
        <w:t xml:space="preserve">　(A) How advanced the technology is</w:t>
      </w:r>
    </w:p>
    <w:p>
      <w:pPr>
        <w:spacing w:after="20" w:before="0"/>
      </w:pPr>
      <w:r>
        <w:rPr>
          <w:rFonts w:ascii="MingLiU" w:hAnsi="MingLiU"/>
          <w:b w:val="0"/>
          <w:sz w:val="20"/>
          <w:eastAsia w:val="MingLiU"/>
        </w:rPr>
        <w:t xml:space="preserve">　(B) 設計者有否真正諮詢和理解使用者需要</w:t>
      </w:r>
      <w:r>
        <w:br/>
      </w:r>
      <w:r>
        <w:rPr>
          <w:rFonts w:ascii="MingLiU" w:hAnsi="MingLiU"/>
          <w:b w:val="0"/>
          <w:color w:val="444444"/>
          <w:sz w:val="18"/>
          <w:eastAsia w:val="MingLiU"/>
        </w:rPr>
        <w:t xml:space="preserve">　(B) Whether the designer genuinely consulted and understood user needs</w:t>
      </w:r>
    </w:p>
    <w:p>
      <w:pPr>
        <w:spacing w:after="20" w:before="0"/>
      </w:pPr>
      <w:r>
        <w:rPr>
          <w:rFonts w:ascii="MingLiU" w:hAnsi="MingLiU"/>
          <w:b w:val="0"/>
          <w:sz w:val="20"/>
          <w:eastAsia w:val="MingLiU"/>
        </w:rPr>
        <w:t xml:space="preserve">　(C) 產品能否獲獎</w:t>
      </w:r>
      <w:r>
        <w:br/>
      </w:r>
      <w:r>
        <w:rPr>
          <w:rFonts w:ascii="MingLiU" w:hAnsi="MingLiU"/>
          <w:b w:val="0"/>
          <w:color w:val="444444"/>
          <w:sz w:val="18"/>
          <w:eastAsia w:val="MingLiU"/>
        </w:rPr>
        <w:t xml:space="preserve">　(C) Whether the product can win awards</w:t>
      </w:r>
    </w:p>
    <w:p>
      <w:pPr>
        <w:spacing w:after="20" w:before="0"/>
      </w:pPr>
      <w:r>
        <w:rPr>
          <w:rFonts w:ascii="MingLiU" w:hAnsi="MingLiU"/>
          <w:b w:val="0"/>
          <w:sz w:val="20"/>
          <w:eastAsia w:val="MingLiU"/>
        </w:rPr>
        <w:t xml:space="preserve">　(D) 製作成本多高</w:t>
      </w:r>
      <w:r>
        <w:br/>
      </w:r>
      <w:r>
        <w:rPr>
          <w:rFonts w:ascii="MingLiU" w:hAnsi="MingLiU"/>
          <w:b w:val="0"/>
          <w:color w:val="444444"/>
          <w:sz w:val="18"/>
          <w:eastAsia w:val="MingLiU"/>
        </w:rPr>
        <w:t xml:space="preserve">　(D) How high the production cost is</w:t>
      </w:r>
    </w:p>
    <w:p>
      <w:pPr>
        <w:spacing w:after="120" w:before="0"/>
      </w:pPr>
    </w:p>
    <w:p>
      <w:pPr>
        <w:spacing w:after="80" w:before="0"/>
      </w:pPr>
      <w:r>
        <w:rPr>
          <w:rFonts w:ascii="MingLiU" w:hAnsi="MingLiU"/>
          <w:b/>
          <w:sz w:val="24"/>
          <w:eastAsia w:val="MingLiU"/>
        </w:rPr>
        <w:t>乙部：問答題</w:t>
      </w:r>
      <w:r>
        <w:br/>
      </w:r>
      <w:r>
        <w:rPr>
          <w:rFonts w:ascii="MingLiU" w:hAnsi="MingLiU"/>
          <w:b w:val="0"/>
          <w:color w:val="444444"/>
          <w:sz w:val="22"/>
          <w:eastAsia w:val="MingLiU"/>
        </w:rPr>
        <w:t>Section B: Short questions</w:t>
      </w:r>
    </w:p>
    <w:p>
      <w:pPr>
        <w:spacing w:after="160" w:before="0"/>
      </w:pPr>
      <w:r>
        <w:rPr>
          <w:rFonts w:ascii="MingLiU" w:hAnsi="MingLiU"/>
          <w:b w:val="0"/>
          <w:sz w:val="22"/>
          <w:eastAsia w:val="MingLiU"/>
        </w:rPr>
        <w:t>1. 小明見到獨居長者提著重物上樓，立即幫他提上樓，但全程沒有和長者交談。試判斷這屬於同情還是同理，並說明理由。</w:t>
      </w:r>
      <w:r>
        <w:br/>
      </w:r>
      <w:r>
        <w:rPr>
          <w:rFonts w:ascii="MingLiU" w:hAnsi="MingLiU"/>
          <w:b w:val="0"/>
          <w:color w:val="444444"/>
          <w:sz w:val="20"/>
          <w:eastAsia w:val="MingLiU"/>
        </w:rPr>
        <w:t>1. Ming sees an elderly person living alone carrying heavy bags upstairs. He immediately carries them up but does not speak to the elderly person at all. Is this sympathy or empathy? Explain your reasons.</w:t>
      </w:r>
    </w:p>
    <w:p>
      <w:pPr>
        <w:spacing w:after="160" w:before="0"/>
      </w:pPr>
      <w:r>
        <w:rPr>
          <w:rFonts w:ascii="MingLiU" w:hAnsi="MingLiU"/>
          <w:b w:val="0"/>
          <w:sz w:val="22"/>
          <w:eastAsia w:val="MingLiU"/>
        </w:rPr>
        <w:t>2. 選擇本課其中一個個案，指出一處你認為最能體現同理心的設計特點，並解釋原因。</w:t>
      </w:r>
      <w:r>
        <w:br/>
      </w:r>
      <w:r>
        <w:rPr>
          <w:rFonts w:ascii="MingLiU" w:hAnsi="MingLiU"/>
          <w:b w:val="0"/>
          <w:color w:val="444444"/>
          <w:sz w:val="20"/>
          <w:eastAsia w:val="MingLiU"/>
        </w:rPr>
        <w:t>2. Choose one case from this lesson, identify the design feature you find most empathetic, and explain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