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ngLiU" w:cs="Arial"/>
          <w:b/>
          <w:sz w:val="26"/>
        </w:rPr>
        <w:t>聖公會呂明才中學</w:t>
      </w:r>
    </w:p>
    <w:p>
      <w:pPr>
        <w:jc w:val="center"/>
      </w:pPr>
      <w:r>
        <w:rPr>
          <w:rFonts w:ascii="Arial" w:hAnsi="Arial" w:eastAsia="MingLiU" w:cs="Arial"/>
          <w:b w:val="0"/>
          <w:color w:val="595959"/>
          <w:sz w:val="20"/>
        </w:rPr>
        <w:t>S.K.H. Lui Ming Choi Secondary School</w:t>
      </w:r>
    </w:p>
    <w:p>
      <w:pPr>
        <w:jc w:val="center"/>
      </w:pPr>
      <w:r>
        <w:rPr>
          <w:rFonts w:ascii="Arial" w:hAnsi="Arial" w:eastAsia="MingLiU" w:cs="Arial"/>
          <w:b/>
          <w:color w:val="1F3B63"/>
          <w:sz w:val="30"/>
        </w:rPr>
        <w:t>創科班 S1 Unit 1：創科人出發</w:t>
      </w:r>
    </w:p>
    <w:p>
      <w:pPr>
        <w:jc w:val="center"/>
      </w:pPr>
      <w:r>
        <w:rPr>
          <w:rFonts w:ascii="Arial" w:hAnsi="Arial" w:eastAsia="MingLiU" w:cs="Arial"/>
          <w:b w:val="0"/>
          <w:color w:val="595959"/>
          <w:sz w:val="22"/>
        </w:rPr>
        <w:t>Little Makers Class S1 Unit 1: Innovators Set Off</w:t>
      </w:r>
    </w:p>
    <w:p>
      <w:pPr>
        <w:jc w:val="center"/>
      </w:pPr>
      <w:r>
        <w:rPr>
          <w:rFonts w:ascii="Arial" w:hAnsi="Arial" w:eastAsia="MingLiU" w:cs="Arial"/>
          <w:b/>
          <w:sz w:val="26"/>
        </w:rPr>
        <w:t>第 3 堂：認識關愛——弱勢社群的生活體驗</w:t>
      </w:r>
    </w:p>
    <w:p>
      <w:pPr>
        <w:jc w:val="center"/>
      </w:pPr>
      <w:r>
        <w:rPr>
          <w:rFonts w:ascii="Arial" w:hAnsi="Arial" w:eastAsia="MingLiU" w:cs="Arial"/>
          <w:b w:val="0"/>
          <w:color w:val="595959"/>
          <w:sz w:val="20"/>
        </w:rPr>
        <w:t>Lesson 3: Understanding Care — Experiencing the Lives of Disadvantaged Groups</w:t>
      </w:r>
    </w:p>
    <w:p>
      <w:pPr>
        <w:jc w:val="center"/>
      </w:pPr>
      <w:r>
        <w:rPr>
          <w:rFonts w:ascii="Arial" w:hAnsi="Arial" w:eastAsia="MingLiU" w:cs="Arial"/>
          <w:b/>
          <w:color w:val="1F3B63"/>
          <w:sz w:val="28"/>
        </w:rPr>
        <w:t>評分準則</w:t>
      </w:r>
    </w:p>
    <w:p>
      <w:pPr>
        <w:jc w:val="center"/>
      </w:pPr>
      <w:r>
        <w:rPr>
          <w:rFonts w:ascii="Arial" w:hAnsi="Arial" w:eastAsia="MingLiU" w:cs="Arial"/>
          <w:b w:val="0"/>
          <w:color w:val="595959"/>
          <w:sz w:val="22"/>
        </w:rPr>
        <w:t>Assessment Rubric</w:t>
      </w:r>
    </w:p>
    <w:p>
      <w:pPr>
        <w:jc w:val="center"/>
      </w:pPr>
      <w:r>
        <w:rPr>
          <w:rFonts w:ascii="Arial" w:hAnsi="Arial" w:eastAsia="MingLiU" w:cs="Arial"/>
          <w:b w:val="0"/>
          <w:color w:val="595959"/>
          <w:sz w:val="20"/>
        </w:rPr>
        <w:t>姓名 Name：＿＿＿＿＿＿　　班別 Class：＿＿　　日期 Date：＿＿＿＿＿＿</w:t>
      </w:r>
    </w:p>
    <w:p/>
    <w:p>
      <w:r>
        <w:rPr>
          <w:rFonts w:ascii="Arial" w:hAnsi="Arial" w:eastAsia="MingLiU" w:cs="Arial"/>
          <w:b w:val="0"/>
          <w:sz w:val="22"/>
        </w:rPr>
        <w:t>適用於：關愛體驗觀察記錄表及課堂觀察　　總分：20 分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For: Caring Experience observation record and lesson observation. Total: 20 marks.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1F3B63"/>
          </w:tcPr>
          <w:p>
            <w:r/>
            <w:r>
              <w:rPr>
                <w:rFonts w:ascii="Arial" w:hAnsi="Arial" w:eastAsia="MingLiU" w:cs="Arial"/>
                <w:b/>
                <w:color w:val="FFFFFF"/>
                <w:sz w:val="22"/>
              </w:rPr>
              <w:t>評分項目</w:t>
              <w:br/>
              <w:t>Assessment item</w:t>
            </w:r>
          </w:p>
          <w:p>
            <w:r>
              <w:rPr>
                <w:rFonts w:ascii="Arial" w:hAnsi="Arial" w:eastAsia="MingLiU" w:cs="Arial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440"/>
            <w:shd w:val="clear" w:fill="1F3B63"/>
          </w:tcPr>
          <w:p>
            <w:r/>
            <w:r>
              <w:rPr>
                <w:rFonts w:ascii="Arial" w:hAnsi="Arial" w:eastAsia="MingLiU" w:cs="Arial"/>
                <w:b/>
                <w:color w:val="FFFFFF"/>
                <w:sz w:val="22"/>
              </w:rPr>
              <w:t>比重</w:t>
              <w:br/>
              <w:t>Weight</w:t>
            </w:r>
          </w:p>
          <w:p>
            <w:r>
              <w:rPr>
                <w:rFonts w:ascii="Arial" w:hAnsi="Arial" w:eastAsia="MingLiU" w:cs="Arial"/>
                <w:b/>
                <w:color w:val="FFFFFF"/>
                <w:sz w:val="18"/>
              </w:rPr>
              <w:t>Weight</w:t>
            </w:r>
          </w:p>
        </w:tc>
        <w:tc>
          <w:tcPr>
            <w:tcW w:type="dxa" w:w="1440"/>
            <w:shd w:val="clear" w:fill="1F3B63"/>
          </w:tcPr>
          <w:p>
            <w:r/>
            <w:r>
              <w:rPr>
                <w:rFonts w:ascii="Arial" w:hAnsi="Arial" w:eastAsia="MingLiU" w:cs="Arial"/>
                <w:b/>
                <w:color w:val="FFFFFF"/>
                <w:sz w:val="22"/>
              </w:rPr>
              <w:t>優秀 (4 分)</w:t>
              <w:br/>
              <w:t>Excellent</w:t>
            </w:r>
          </w:p>
          <w:p>
            <w:r>
              <w:rPr>
                <w:rFonts w:ascii="Arial" w:hAnsi="Arial" w:eastAsia="MingLiU" w:cs="Arial"/>
                <w:b/>
                <w:color w:val="FFFFFF"/>
                <w:sz w:val="18"/>
              </w:rPr>
              <w:t>Excellent</w:t>
            </w:r>
          </w:p>
        </w:tc>
        <w:tc>
          <w:tcPr>
            <w:tcW w:type="dxa" w:w="1440"/>
            <w:shd w:val="clear" w:fill="1F3B63"/>
          </w:tcPr>
          <w:p>
            <w:r/>
            <w:r>
              <w:rPr>
                <w:rFonts w:ascii="Arial" w:hAnsi="Arial" w:eastAsia="MingLiU" w:cs="Arial"/>
                <w:b/>
                <w:color w:val="FFFFFF"/>
                <w:sz w:val="22"/>
              </w:rPr>
              <w:t>良好 (3 分)</w:t>
              <w:br/>
              <w:t>Good</w:t>
            </w:r>
          </w:p>
          <w:p>
            <w:r>
              <w:rPr>
                <w:rFonts w:ascii="Arial" w:hAnsi="Arial" w:eastAsia="MingLiU" w:cs="Arial"/>
                <w:b/>
                <w:color w:val="FFFFFF"/>
                <w:sz w:val="18"/>
              </w:rPr>
              <w:t>Good</w:t>
            </w:r>
          </w:p>
        </w:tc>
        <w:tc>
          <w:tcPr>
            <w:tcW w:type="dxa" w:w="1440"/>
            <w:shd w:val="clear" w:fill="1F3B63"/>
          </w:tcPr>
          <w:p>
            <w:r/>
            <w:r>
              <w:rPr>
                <w:rFonts w:ascii="Arial" w:hAnsi="Arial" w:eastAsia="MingLiU" w:cs="Arial"/>
                <w:b/>
                <w:color w:val="FFFFFF"/>
                <w:sz w:val="22"/>
              </w:rPr>
              <w:t>達標 (2 分)</w:t>
              <w:br/>
              <w:t>Pass</w:t>
            </w:r>
          </w:p>
          <w:p>
            <w:r>
              <w:rPr>
                <w:rFonts w:ascii="Arial" w:hAnsi="Arial" w:eastAsia="MingLiU" w:cs="Arial"/>
                <w:b/>
                <w:color w:val="FFFFFF"/>
                <w:sz w:val="18"/>
              </w:rPr>
              <w:t>Pass</w:t>
            </w:r>
          </w:p>
        </w:tc>
        <w:tc>
          <w:tcPr>
            <w:tcW w:type="dxa" w:w="1440"/>
            <w:shd w:val="clear" w:fill="1F3B63"/>
          </w:tcPr>
          <w:p>
            <w:r/>
            <w:r>
              <w:rPr>
                <w:rFonts w:ascii="Arial" w:hAnsi="Arial" w:eastAsia="MingLiU" w:cs="Arial"/>
                <w:b/>
                <w:color w:val="FFFFFF"/>
                <w:sz w:val="22"/>
              </w:rPr>
              <w:t>待改進 (1 分)</w:t>
              <w:br/>
              <w:t>Needs work</w:t>
            </w:r>
          </w:p>
          <w:p>
            <w:r>
              <w:rPr>
                <w:rFonts w:ascii="Arial" w:hAnsi="Arial" w:eastAsia="MingLiU" w:cs="Arial"/>
                <w:b/>
                <w:color w:val="FFFFFF"/>
                <w:sz w:val="18"/>
              </w:rPr>
              <w:t>Needs work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安全規則</w:t>
              <w:br/>
              <w:t>遵守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Compliance with safety rules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20%</w:t>
              <w:br/>
              <w:t>4 分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20%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全程遵守所有安全守則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Followed all safety rules throughout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大致遵守，偶爾需提醒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Mostly followed; occasional reminders needed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多次需提醒才遵守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Needed repeated reminders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違反安全守則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Violated safety rules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參與投入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Engagement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15%</w:t>
              <w:br/>
              <w:t>3 分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15%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積極參與體驗與討論，專心聆聽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Actively took part and listened attentively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有參與體驗與討論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Took part in the experience and discussion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參與被動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Passive participation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缺席體驗或拒絕參與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Absent from the experience or refused to take part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三類社群</w:t>
              <w:br/>
              <w:t>及其困難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Three groups and their difficulties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25%</w:t>
              <w:br/>
              <w:t>5 分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25%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準確列出三類人士，每類困難具體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Three groups listed accurately, each with a specific difficulty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列出三類，困難大致具體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Three groups listed, difficulties mostly specific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只能列出部分，或困難空泛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Only some groups listed, or difficulties vague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不能列出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Cannot list any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觀察記錄</w:t>
              <w:br/>
              <w:t>具體性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Specificity of observation records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25%</w:t>
              <w:br/>
              <w:t>5 分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25%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三項記錄具體，有身體感覺／細節／情緒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Three specific records covering sensations, details, feelings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有三項記錄，大致具體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Three records, mostly specific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記錄空泛，多用形容詞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Vague records, mostly adjectives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沒有觀察記錄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No observation records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全年主題</w:t>
              <w:br/>
              <w:t>理解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Understanding of the year's theme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15%</w:t>
              <w:br/>
              <w:t>3 分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15%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用自己的文字準確解釋主題含義（達字數）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Theme explained accurately in own words (meets word count)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解釋大致正確（達字數）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Explanation mostly correct (meets word count)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解釋含糊或未達字數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Vague explanation or below word count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MingLiU" w:cs="Arial"/>
                <w:b w:val="0"/>
                <w:sz w:val="22"/>
              </w:rPr>
              <w:t>沒有解釋</w:t>
            </w:r>
          </w:p>
          <w:p>
            <w:r>
              <w:rPr>
                <w:rFonts w:ascii="Arial" w:hAnsi="Arial" w:eastAsia="MingLiU" w:cs="Arial"/>
                <w:b w:val="0"/>
                <w:color w:val="595959"/>
                <w:sz w:val="18"/>
              </w:rPr>
              <w:t>No explanation</w:t>
            </w:r>
          </w:p>
        </w:tc>
      </w:tr>
    </w:tbl>
    <w:p/>
    <w:p>
      <w:r>
        <w:rPr>
          <w:rFonts w:ascii="Arial" w:hAnsi="Arial" w:eastAsia="MingLiU" w:cs="Arial"/>
          <w:b/>
          <w:sz w:val="22"/>
        </w:rPr>
        <w:t>總分換算：各項得分相加即為總分（滿分 20 分）。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Total: add up the item scores (full marks: 20).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  <w:rFonts w:eastAsia="MingLiU"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