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4 堂｜結構力學——紙橋承重挑戰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4 | Structural Mechanics — Paper Bridge Load Challenge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評分準則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Assessment Rubric</w:t>
      </w:r>
    </w:p>
    <w:p>
      <w:r>
        <w:rPr>
          <w:rFonts w:ascii="Calibri" w:hAnsi="Calibri" w:eastAsia="MingLiU"/>
          <w:b w:val="0"/>
          <w:sz w:val="22"/>
        </w:rPr>
        <w:t>本評分表供教師評估「紙橋承重挑戰」分組活動及家課之用，總分 100 分。</w:t>
      </w:r>
    </w:p>
    <w:p>
      <w:r>
        <w:rPr>
          <w:rFonts w:ascii="Calibri" w:hAnsi="Calibri"/>
          <w:i/>
          <w:color w:val="404040"/>
          <w:sz w:val="20"/>
        </w:rPr>
        <w:t>This rubric is for teachers to assess the group "Paper Bridge Load Challenge" activity and homework. Total: 100 marks.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47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評分項目</w:t>
              <w:br/>
              <w:t>Criteria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優 (85–100%)</w:t>
              <w:br/>
              <w:t>Excellent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良 (70–84%)</w:t>
              <w:br/>
              <w:t>Good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尚可 (50–69%)</w:t>
              <w:br/>
              <w:t>Fair</w:t>
            </w:r>
          </w:p>
        </w:tc>
        <w:tc>
          <w:tcPr>
            <w:tcW w:type="dxa" w:w="181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待改進 (&lt;50%)</w:t>
              <w:br/>
              <w:t>Needs improvement</w:t>
            </w:r>
          </w:p>
        </w:tc>
        <w:tc>
          <w:tcPr>
            <w:tcW w:type="dxa" w:w="680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比重</w:t>
              <w:br/>
              <w:t>Weight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設計草圖</w:t>
              <w:br/>
              <w:t>Design sketch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草圖清晰，標示結構類型及尺寸，設計具創意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草圖完整，標示結構類型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草圖簡單，標示不清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沒有草圖或草圖無法辨認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15%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搭建與協作</w:t>
              <w:br/>
              <w:t>Building &amp; collaboration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全組投入，分工明確，互相幫助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大部份組員參與，有分工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只有少數組員動手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幾乎沒有參與搭建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數據記錄</w:t>
              <w:br/>
              <w:t>Data recording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記錄表完整準確，即時填寫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記錄表大致完整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記錄表有多處缺漏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沒有記錄或記錄失實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承重表現</w:t>
              <w:br/>
              <w:t>Load performance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跨度達 30 厘米，承起 15 枚或以上硬幣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跨度達 30 厘米，承起 10–14 枚硬幣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能跨越但承重不足 10 枚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未能跨越 30 厘米或即時倒塌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25%</w:t>
            </w:r>
          </w:p>
        </w:tc>
      </w:tr>
      <w:tr>
        <w:tc>
          <w:tcPr>
            <w:tcW w:type="dxa" w:w="147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反思</w:t>
              <w:br/>
              <w:t>Reflection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80 字以上，具體指出結構與承重的關係及改良方向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有設計意念、結果及改良三部分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只覆述結果，欠改良方向</w:t>
            </w:r>
          </w:p>
        </w:tc>
        <w:tc>
          <w:tcPr>
            <w:tcW w:type="dxa" w:w="181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內容空泛或欠交</w:t>
            </w:r>
          </w:p>
        </w:tc>
        <w:tc>
          <w:tcPr>
            <w:tcW w:type="dxa" w:w="680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20%</w:t>
            </w:r>
          </w:p>
        </w:tc>
      </w:tr>
    </w:tbl>
    <w:p>
      <w:r>
        <w:rPr>
          <w:rFonts w:ascii="Calibri" w:hAnsi="Calibri" w:eastAsia="MingLiU"/>
          <w:b w:val="0"/>
          <w:sz w:val="22"/>
        </w:rPr>
        <w:t>成功準則：橋樑模型能橫跨 30 厘米並承載最少 10 枚硬幣；數據記錄表填寫完整無誤；反思能指出結構形狀與承重能力的關係。</w:t>
      </w:r>
    </w:p>
    <w:p>
      <w:r>
        <w:rPr>
          <w:rFonts w:ascii="Calibri" w:hAnsi="Calibri"/>
          <w:i/>
          <w:color w:val="404040"/>
          <w:sz w:val="20"/>
        </w:rPr>
        <w:t>Success criteria: the bridge spans 30 cm and supports at least 10 coins; the data table is complete and accurate; the reflection identifies the relationship between structural shape and load-bearing capacity.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