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ngLiU"/>
          <w:b/>
          <w:sz w:val="26"/>
        </w:rPr>
        <w:t>聖公會呂明才中學</w:t>
      </w:r>
    </w:p>
    <w:p>
      <w:pPr>
        <w:jc w:val="center"/>
      </w:pPr>
      <w:r>
        <w:rPr>
          <w:rFonts w:ascii="Calibri" w:hAnsi="Calibri" w:eastAsia="MingLiU"/>
          <w:b w:val="0"/>
          <w:sz w:val="20"/>
        </w:rPr>
        <w:t>S.K.H. Lui Ming Choi Secondary School</w:t>
      </w:r>
    </w:p>
    <w:p>
      <w:pPr>
        <w:jc w:val="center"/>
      </w:pPr>
      <w:r>
        <w:rPr>
          <w:rFonts w:ascii="Calibri" w:hAnsi="Calibri" w:eastAsia="MingLiU"/>
          <w:b/>
          <w:color w:val="2E74B5"/>
          <w:sz w:val="24"/>
        </w:rPr>
        <w:t>創科班 Little Makers Class</w:t>
      </w:r>
    </w:p>
    <w:p>
      <w:pPr>
        <w:jc w:val="center"/>
      </w:pPr>
      <w:r>
        <w:rPr>
          <w:rFonts w:ascii="Calibri" w:hAnsi="Calibri" w:eastAsia="MingLiU"/>
          <w:b/>
          <w:sz w:val="22"/>
        </w:rPr>
        <w:t>單元二：動手做 STEAM  Unit 2: Hands-on STEAM</w:t>
      </w:r>
    </w:p>
    <w:p>
      <w:pPr>
        <w:jc w:val="center"/>
      </w:pPr>
      <w:r>
        <w:rPr>
          <w:rFonts w:ascii="Calibri" w:hAnsi="Calibri" w:eastAsia="MingLiU"/>
          <w:b/>
          <w:color w:val="1F497D"/>
          <w:sz w:val="28"/>
        </w:rPr>
        <w:t>第 9 堂｜動手大挑戰——水火箭發射（戶外）</w:t>
      </w:r>
    </w:p>
    <w:p>
      <w:pPr>
        <w:jc w:val="center"/>
      </w:pPr>
      <w:r>
        <w:rPr>
          <w:rFonts w:ascii="Calibri" w:hAnsi="Calibri" w:eastAsia="MingLiU"/>
          <w:b/>
          <w:color w:val="1F497D"/>
          <w:sz w:val="22"/>
        </w:rPr>
        <w:t>Lesson 9 | Grand Hands-on Challenge — Water Rocket Launch (Outdoor)</w:t>
      </w:r>
    </w:p>
    <w:p>
      <w:pPr>
        <w:jc w:val="center"/>
      </w:pPr>
      <w:r>
        <w:rPr>
          <w:rFonts w:ascii="Calibri" w:hAnsi="Calibri" w:eastAsia="MingLiU"/>
          <w:b/>
          <w:color w:val="2E74B5"/>
          <w:sz w:val="24"/>
        </w:rPr>
        <w:t>評分準則</w:t>
      </w:r>
    </w:p>
    <w:p>
      <w:pPr>
        <w:jc w:val="center"/>
      </w:pPr>
      <w:r>
        <w:rPr>
          <w:rFonts w:ascii="Calibri" w:hAnsi="Calibri" w:eastAsia="MingLiU"/>
          <w:b w:val="0"/>
          <w:color w:val="2E74B5"/>
          <w:sz w:val="20"/>
        </w:rPr>
      </w:r>
    </w:p>
    <w:p>
      <w:pPr>
        <w:jc w:val="center"/>
      </w:pPr>
      <w:r>
        <w:rPr>
          <w:rFonts w:ascii="Calibri" w:hAnsi="Calibri" w:eastAsia="MingLiU"/>
          <w:b/>
          <w:color w:val="2E74B5"/>
          <w:sz w:val="24"/>
        </w:rPr>
        <w:t>Assessment Rubric</w:t>
      </w:r>
    </w:p>
    <w:p>
      <w:r>
        <w:rPr>
          <w:rFonts w:ascii="Calibri" w:hAnsi="Calibri" w:eastAsia="MingLiU"/>
          <w:b w:val="0"/>
          <w:sz w:val="22"/>
        </w:rPr>
        <w:t>本評分表供教師評估「水火箭發射」分組活動及家課之用，總分 100 分。</w:t>
      </w:r>
    </w:p>
    <w:p>
      <w:r>
        <w:rPr>
          <w:rFonts w:ascii="Calibri" w:hAnsi="Calibri"/>
          <w:i/>
          <w:color w:val="404040"/>
          <w:sz w:val="20"/>
        </w:rPr>
        <w:t>This rubric is for teachers to assess the group "Water Rocket Launch" activity and homework. Total: 100 marks.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474"/>
            <w:shd w:val="clear" w:fill="1F497D"/>
          </w:tcPr>
          <w:p>
            <w:r>
              <w:rPr>
                <w:rFonts w:ascii="Calibri" w:hAnsi="Calibri" w:eastAsia="MingLiU"/>
                <w:color w:val="FFFFFF"/>
              </w:rPr>
            </w:r>
            <w:r>
              <w:rPr>
                <w:rFonts w:ascii="Calibri" w:hAnsi="Calibri" w:eastAsia="MingLiU"/>
                <w:b/>
                <w:color w:val="FFFFFF"/>
                <w:sz w:val="22"/>
              </w:rPr>
              <w:t>評分項目</w:t>
              <w:br/>
              <w:t>Criteria</w:t>
            </w:r>
          </w:p>
        </w:tc>
        <w:tc>
          <w:tcPr>
            <w:tcW w:type="dxa" w:w="1814"/>
            <w:shd w:val="clear" w:fill="1F497D"/>
          </w:tcPr>
          <w:p>
            <w:r>
              <w:rPr>
                <w:rFonts w:ascii="Calibri" w:hAnsi="Calibri" w:eastAsia="MingLiU"/>
                <w:color w:val="FFFFFF"/>
              </w:rPr>
            </w:r>
            <w:r>
              <w:rPr>
                <w:rFonts w:ascii="Calibri" w:hAnsi="Calibri" w:eastAsia="MingLiU"/>
                <w:b/>
                <w:color w:val="FFFFFF"/>
                <w:sz w:val="22"/>
              </w:rPr>
              <w:t>優 (85–100%)</w:t>
              <w:br/>
              <w:t>Excellent</w:t>
            </w:r>
          </w:p>
        </w:tc>
        <w:tc>
          <w:tcPr>
            <w:tcW w:type="dxa" w:w="1814"/>
            <w:shd w:val="clear" w:fill="1F497D"/>
          </w:tcPr>
          <w:p>
            <w:r>
              <w:rPr>
                <w:rFonts w:ascii="Calibri" w:hAnsi="Calibri" w:eastAsia="MingLiU"/>
                <w:color w:val="FFFFFF"/>
              </w:rPr>
            </w:r>
            <w:r>
              <w:rPr>
                <w:rFonts w:ascii="Calibri" w:hAnsi="Calibri" w:eastAsia="MingLiU"/>
                <w:b/>
                <w:color w:val="FFFFFF"/>
                <w:sz w:val="22"/>
              </w:rPr>
              <w:t>良 (70–84%)</w:t>
              <w:br/>
              <w:t>Good</w:t>
            </w:r>
          </w:p>
        </w:tc>
        <w:tc>
          <w:tcPr>
            <w:tcW w:type="dxa" w:w="1814"/>
            <w:shd w:val="clear" w:fill="1F497D"/>
          </w:tcPr>
          <w:p>
            <w:r>
              <w:rPr>
                <w:rFonts w:ascii="Calibri" w:hAnsi="Calibri" w:eastAsia="MingLiU"/>
                <w:color w:val="FFFFFF"/>
              </w:rPr>
            </w:r>
            <w:r>
              <w:rPr>
                <w:rFonts w:ascii="Calibri" w:hAnsi="Calibri" w:eastAsia="MingLiU"/>
                <w:b/>
                <w:color w:val="FFFFFF"/>
                <w:sz w:val="22"/>
              </w:rPr>
              <w:t>尚可 (50–69%)</w:t>
              <w:br/>
              <w:t>Fair</w:t>
            </w:r>
          </w:p>
        </w:tc>
        <w:tc>
          <w:tcPr>
            <w:tcW w:type="dxa" w:w="1814"/>
            <w:shd w:val="clear" w:fill="1F497D"/>
          </w:tcPr>
          <w:p>
            <w:r>
              <w:rPr>
                <w:rFonts w:ascii="Calibri" w:hAnsi="Calibri" w:eastAsia="MingLiU"/>
                <w:color w:val="FFFFFF"/>
              </w:rPr>
            </w:r>
            <w:r>
              <w:rPr>
                <w:rFonts w:ascii="Calibri" w:hAnsi="Calibri" w:eastAsia="MingLiU"/>
                <w:b/>
                <w:color w:val="FFFFFF"/>
                <w:sz w:val="22"/>
              </w:rPr>
              <w:t>待改進 (&lt;50%)</w:t>
              <w:br/>
              <w:t>Needs improvement</w:t>
            </w:r>
          </w:p>
        </w:tc>
        <w:tc>
          <w:tcPr>
            <w:tcW w:type="dxa" w:w="680"/>
            <w:shd w:val="clear" w:fill="1F497D"/>
          </w:tcPr>
          <w:p>
            <w:r>
              <w:rPr>
                <w:rFonts w:ascii="Calibri" w:hAnsi="Calibri" w:eastAsia="MingLiU"/>
                <w:color w:val="FFFFFF"/>
              </w:rPr>
            </w:r>
            <w:r>
              <w:rPr>
                <w:rFonts w:ascii="Calibri" w:hAnsi="Calibri" w:eastAsia="MingLiU"/>
                <w:b/>
                <w:color w:val="FFFFFF"/>
                <w:sz w:val="22"/>
              </w:rPr>
              <w:t>比重</w:t>
              <w:br/>
              <w:t>Weight</w:t>
            </w:r>
          </w:p>
        </w:tc>
      </w:tr>
      <w:tr>
        <w:tc>
          <w:tcPr>
            <w:tcW w:type="dxa" w:w="147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火箭製作與發射</w:t>
              <w:br/>
              <w:t>Making &amp; launching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火箭成功發射，飛行穩定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火箭成功發射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經協助後才能發射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未能發射</w:t>
            </w:r>
          </w:p>
        </w:tc>
        <w:tc>
          <w:tcPr>
            <w:tcW w:type="dxa" w:w="680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20%</w:t>
            </w:r>
          </w:p>
        </w:tc>
      </w:tr>
      <w:tr>
        <w:tc>
          <w:tcPr>
            <w:tcW w:type="dxa" w:w="147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數據記錄</w:t>
              <w:br/>
              <w:t>Data recording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三次或以上發射數據完整準確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兩次發射數據完整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只有一次數據或多處缺漏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沒有記錄或失實</w:t>
            </w:r>
          </w:p>
        </w:tc>
        <w:tc>
          <w:tcPr>
            <w:tcW w:type="dxa" w:w="680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20%</w:t>
            </w:r>
          </w:p>
        </w:tc>
      </w:tr>
      <w:tr>
        <w:tc>
          <w:tcPr>
            <w:tcW w:type="dxa" w:w="147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影響因素分析</w:t>
              <w:br/>
              <w:t>Factor analysis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正確指出三個或以上因素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正確指出兩個因素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只能指出一個因素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不能指出因素</w:t>
            </w:r>
          </w:p>
        </w:tc>
        <w:tc>
          <w:tcPr>
            <w:tcW w:type="dxa" w:w="680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20%</w:t>
            </w:r>
          </w:p>
        </w:tc>
      </w:tr>
      <w:tr>
        <w:tc>
          <w:tcPr>
            <w:tcW w:type="dxa" w:w="147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改良方案</w:t>
              <w:br/>
              <w:t>Improvement plan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改良具體、有數據支持並實踐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有改良方案及原因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改良空泛，欠數據支持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沒有改良方案</w:t>
            </w:r>
          </w:p>
        </w:tc>
        <w:tc>
          <w:tcPr>
            <w:tcW w:type="dxa" w:w="680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20%</w:t>
            </w:r>
          </w:p>
        </w:tc>
      </w:tr>
      <w:tr>
        <w:tc>
          <w:tcPr>
            <w:tcW w:type="dxa" w:w="147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安全規則</w:t>
              <w:br/>
              <w:t>Safety rules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全程遵守，覆述要點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遵守規則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須教師提醒才遵守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違反安全規則</w:t>
            </w:r>
          </w:p>
        </w:tc>
        <w:tc>
          <w:tcPr>
            <w:tcW w:type="dxa" w:w="680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20%</w:t>
            </w:r>
          </w:p>
        </w:tc>
      </w:tr>
    </w:tbl>
    <w:p>
      <w:r>
        <w:rPr>
          <w:rFonts w:ascii="Calibri" w:hAnsi="Calibri" w:eastAsia="MingLiU"/>
          <w:b w:val="0"/>
          <w:sz w:val="22"/>
        </w:rPr>
        <w:t>成功準則：火箭能成功發射；數據表記錄最少兩次發射的飛行距離；能正確指出最少兩個影響飛行距離的因素；改良方案有數據支持。</w:t>
      </w:r>
    </w:p>
    <w:p>
      <w:r>
        <w:rPr>
          <w:rFonts w:ascii="Calibri" w:hAnsi="Calibri"/>
          <w:i/>
          <w:color w:val="404040"/>
          <w:sz w:val="20"/>
        </w:rPr>
        <w:t>Success criteria: the rocket launches successfully; the data table records at least two launches' flight distances; students correctly identify at least two factors affecting flight distance; the improvement plan is supported by data.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ngLiU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