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18 堂｜AI 倫理個案研討：deepfake 騙案與 AI 招聘偏見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18 | AI Ethics Case Study: Deepfake Fraud and AI Hiring Bias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複述兩個個案事實重點（知識）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分：兩個個案的事實重點複述準確完整。8–12 分：大致準確但有遺漏。0–7 分：事實錯誤或嚴重遺漏。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三問分析表（分析）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21–25 分：每一個案三問齊全，公平性及責任歸屬有具體原因，非只寫「不公平」三字。13–20 分：三問齊全但原因較淺。0–12 分：缺問或只有表態沒有分析。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辯論表現／個人立場題（判斷）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分：立場有具體理據支持，能引用個案事實。10–16 分：有立場及簡單理由。0–9 分：只有表態沒有理據。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課堂參與（態度）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分：積極參與小組討論及辯論，遵守辯論規則。5–8 分：有參與但較被動。0–4 分：沒有參與。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家課：新聞例子搜集（100 字）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分：例子真實近期，註明出處及日期，看法及三問分析合理。5–8 分：有例子但出處不明或分析較淺。0–4 分：沒有註明出處或文不對題。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