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ngLiU" w:cs="Calibri"/>
          <w:b/>
          <w:i w:val="0"/>
          <w:sz w:val="26"/>
        </w:rPr>
        <w:t>聖公會呂明才中學</w:t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color w:val="5A5A5A"/>
          <w:sz w:val="20"/>
        </w:rPr>
        <w:t>S.K.H. Lui Ming Choi Secondary School</w:t>
      </w:r>
    </w:p>
    <w:p>
      <w:pPr>
        <w:jc w:val="center"/>
      </w:pPr>
      <w:r>
        <w:rPr>
          <w:rFonts w:ascii="Calibri" w:hAnsi="Calibri" w:eastAsia="MingLiU" w:cs="Calibri"/>
          <w:b/>
          <w:i w:val="0"/>
          <w:sz w:val="24"/>
        </w:rPr>
        <w:t>S2 單元四：AI 進階與倫理深化｜評分準則</w:t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color w:val="5A5A5A"/>
          <w:sz w:val="20"/>
        </w:rPr>
        <w:t>S2 Unit 4: Advanced AI and Deepening of AI Ethics | Marking Rubric</w:t>
      </w:r>
    </w:p>
    <w:p>
      <w:pPr>
        <w:jc w:val="center"/>
      </w:pPr>
      <w:r>
        <w:rPr>
          <w:rFonts w:ascii="Calibri" w:hAnsi="Calibri" w:eastAsia="MingLiU" w:cs="Calibri"/>
          <w:b/>
          <w:i w:val="0"/>
          <w:sz w:val="28"/>
        </w:rPr>
        <w:t>第 20 堂｜網絡安全進階：識別釣魚電郵與密碼管理實務</w:t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color w:val="5A5A5A"/>
          <w:sz w:val="22"/>
        </w:rPr>
        <w:t>Lesson 20 | Advanced Cyber Security: Spotting Phishing Emails and Password Management</w:t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sz w:val="20"/>
        </w:rPr>
        <w:t>姓名 Name：＿＿＿＿　班別 Class：＿＿＿＿　學號 No.：＿＿＿＿　日期 Date：＿＿＿＿</w:t>
      </w:r>
    </w:p>
    <w:p/>
    <w:p>
      <w:r>
        <w:rPr>
          <w:rFonts w:ascii="Calibri" w:hAnsi="Calibri" w:eastAsia="MingLiU" w:cs="Calibri"/>
          <w:b w:val="0"/>
          <w:i w:val="0"/>
          <w:sz w:val="22"/>
        </w:rPr>
        <w:t>總分 80 分。各項得分填在「得分」欄。</w:t>
      </w:r>
    </w:p>
    <w:p>
      <w:r>
        <w:rPr>
          <w:rFonts w:ascii="Calibri" w:hAnsi="Calibri" w:eastAsia="MingLiU" w:cs="Calibri"/>
          <w:b w:val="0"/>
          <w:i w:val="0"/>
          <w:color w:val="464646"/>
          <w:sz w:val="20"/>
        </w:rPr>
        <w:t>Total: 80 marks. Enter each item's score in the "Score" column.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685"/>
          </w:tcPr>
          <w:p>
            <w:r/>
            <w:r>
              <w:rPr>
                <w:rFonts w:ascii="Calibri" w:hAnsi="Calibri" w:eastAsia="MingLiU" w:cs="Calibri"/>
                <w:b/>
                <w:i w:val="0"/>
                <w:sz w:val="22"/>
              </w:rPr>
              <w:t>評分項目 Item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MingLiU" w:cs="Calibri"/>
                <w:b/>
                <w:i w:val="0"/>
                <w:sz w:val="22"/>
              </w:rPr>
              <w:t>滿分 Max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MingLiU" w:cs="Calibri"/>
                <w:b/>
                <w:i w:val="0"/>
                <w:sz w:val="22"/>
              </w:rPr>
              <w:t>得分 Score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MingLiU" w:cs="Calibri"/>
                <w:b/>
                <w:i w:val="0"/>
                <w:sz w:val="22"/>
              </w:rPr>
              <w:t>評分說明 Descriptors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列出釣魚電郵至少四個特徵（知識）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15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得分 Score：＿＿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13–15 分：能準確列出四個或以上特徵。8–12 分：能列出兩至三個。0–7 分：只能列出一個或以下。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三封示例電郵判斷及理由（應用）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25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得分 Score：＿＿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21–25 分：三封判斷全對，每封理由具體指出特徵。13–20 分：答對兩封且理由具體。0–12 分：只答對一封或理由空泛。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說出密碼三原則（知識）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15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得分 Score：＿＿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13–15 分：三個原則（夠長、獨特、不同網站不同密碼）完整正確。8–12 分：能說出兩個。0–7 分：只能說出一個或以下。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課堂參與：小組挑戰（態度）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10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得分 Score：＿＿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9–10 分：積極參與判斷及討論，理由充分。5–8 分：有參與但較被動。0–4 分：沒有參與。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家課：密碼改善計劃（80 字）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15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得分 Score：＿＿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13–15 分：對照三原則，改善計劃具體可行，且沒有寫出真實密碼。8–12 分：有計劃但較空泛。0–7 分：沒有對照三原則，或寫出了真實密碼（須即時提醒並扣分）。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總分 Total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80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得分 Score：＿＿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