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i w:val="0"/>
          <w:color w:val="1F4E79"/>
          <w:sz w:val="32"/>
          <w:rFonts w:ascii="Arial" w:hAnsi="Arial" w:eastAsia="MingLiU" w:cs="Arial"/>
        </w:rPr>
        <w:t>聖公會呂明才中學</w:t>
      </w:r>
    </w:p>
    <w:p>
      <w:pPr>
        <w:jc w:val="center"/>
      </w:pPr>
      <w:r>
        <w:rPr>
          <w:b/>
          <w:i w:val="0"/>
          <w:color w:val="1F4E79"/>
          <w:sz w:val="26"/>
          <w:rFonts w:ascii="Arial" w:hAnsi="Arial" w:eastAsia="MingLiU" w:cs="Arial"/>
        </w:rPr>
        <w:t>S.K.H. Lui Ming Choi Secondary School</w:t>
      </w:r>
    </w:p>
    <w:p>
      <w:pPr>
        <w:jc w:val="center"/>
      </w:pPr>
      <w:r>
        <w:rPr>
          <w:b/>
          <w:i w:val="0"/>
          <w:sz w:val="26"/>
          <w:rFonts w:ascii="Arial" w:hAnsi="Arial" w:eastAsia="MingLiU" w:cs="Arial"/>
        </w:rPr>
        <w:t>創科班 Little Makers Class</w:t>
      </w:r>
    </w:p>
    <w:p>
      <w:pPr>
        <w:jc w:val="center"/>
      </w:pPr>
      <w:r>
        <w:rPr>
          <w:b/>
          <w:i w:val="0"/>
          <w:color w:val="1F4E79"/>
          <w:sz w:val="28"/>
          <w:rFonts w:ascii="Arial" w:hAnsi="Arial" w:eastAsia="MingLiU" w:cs="Arial"/>
        </w:rPr>
        <w:t>第 21 堂 Lesson 21</w:t>
      </w:r>
    </w:p>
    <w:p>
      <w:pPr>
        <w:jc w:val="center"/>
      </w:pPr>
      <w:r>
        <w:rPr>
          <w:b/>
          <w:i w:val="0"/>
          <w:sz w:val="28"/>
          <w:rFonts w:ascii="Arial" w:hAnsi="Arial" w:eastAsia="MingLiU" w:cs="Arial"/>
        </w:rPr>
        <w:t>社區實測：探訪／訪問</w:t>
      </w:r>
    </w:p>
    <w:p>
      <w:pPr>
        <w:jc w:val="center"/>
      </w:pPr>
      <w:r>
        <w:rPr>
          <w:b/>
          <w:i w:val="0"/>
          <w:color w:val="595959"/>
          <w:sz w:val="24"/>
          <w:rFonts w:ascii="Arial" w:hAnsi="Arial" w:eastAsia="MingLiU" w:cs="Arial"/>
        </w:rPr>
        <w:t>Community Fieldwork: Visit and Interview</w:t>
      </w:r>
    </w:p>
    <w:p>
      <w:pPr>
        <w:jc w:val="center"/>
      </w:pPr>
      <w:r>
        <w:rPr>
          <w:b/>
          <w:i w:val="0"/>
          <w:color w:val="1F4E79"/>
          <w:sz w:val="26"/>
          <w:rFonts w:ascii="Arial" w:hAnsi="Arial" w:eastAsia="MingLiU" w:cs="Arial"/>
        </w:rPr>
        <w:t>評分準則 Assessment Rubric</w:t>
      </w:r>
    </w:p>
    <w:p/>
    <w:p>
      <w:r>
        <w:rPr>
          <w:b w:val="0"/>
          <w:i w:val="0"/>
          <w:sz w:val="22"/>
          <w:rFonts w:ascii="Arial" w:hAnsi="Arial" w:eastAsia="MingLiU" w:cs="Arial"/>
        </w:rPr>
        <w:t>評分方法：每項按 1–4 級評分，總分＝Σ（等級 × 權重），滿分 100 分。</w:t>
      </w:r>
    </w:p>
    <w:p>
      <w:r>
        <w:rPr>
          <w:b w:val="0"/>
          <w:i w:val="0"/>
          <w:color w:val="595959"/>
          <w:sz w:val="20"/>
          <w:rFonts w:ascii="Arial" w:hAnsi="Arial" w:eastAsia="MingLiU" w:cs="Arial"/>
        </w:rPr>
        <w:t>Scoring: rate each criterion on a 1–4 scale; total = Σ(level × weight); maximum 100.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評分項目（權重）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Criterion (weight)</w:t>
            </w:r>
          </w:p>
        </w:tc>
        <w:tc>
          <w:tcPr>
            <w:tcW w:type="dxa" w:w="1728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優秀 4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Excellent 4</w:t>
            </w:r>
          </w:p>
        </w:tc>
        <w:tc>
          <w:tcPr>
            <w:tcW w:type="dxa" w:w="1728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良好 3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Good 3</w:t>
            </w:r>
          </w:p>
        </w:tc>
        <w:tc>
          <w:tcPr>
            <w:tcW w:type="dxa" w:w="1728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合格 2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Satisfactory 2</w:t>
            </w:r>
          </w:p>
        </w:tc>
        <w:tc>
          <w:tcPr>
            <w:tcW w:type="dxa" w:w="1728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待改進 1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Needs improvement 1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提問完成度 (×25)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Questioning (×25)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完成 6 條或以上提問，全部緊扣問卷且有追問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6+ questions, all on-questionnaire with probing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完成 5 條提問，有至少一次追問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5 questions with at least one probe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完成 3–4 條提問，追問不足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3–4 questions, little probing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提問少於 3 條或偏離問卷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Fewer than 3 questions or off-questionnaire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記錄準確度 (×25)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Recording accuracy (×25)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三欄齊備，原話與摘要分明，重點無遺漏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All 3 columns complete; quotes separated from summaries; no key points missed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記錄完整，偶有原話與摘要混淆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Complete records; occasional quote/summary mix-ups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記錄有缺漏，重點不全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Gaps in records; key points incomplete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記錄潦草難辨或嚴重失實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Illegible or seriously inaccurate records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回饋歸納 (×25)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Feedback synthesis (×25)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歸納 4 項或以上具體回饋，每項附原話依據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4+ specific items, each backed by user quotes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歸納 3 項具體回饋，依據充分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3 specific items with solid evidence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歸納 2 項，回饋較籠統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2 items, feedback rather vague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少於 2 項或把客套話當回饋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Fewer than 2 items, or politeness counted as feedback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訪談禮儀 (×15)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Interview etiquette (×15)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全程有禮守時，主動致謝並送感謝卡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Courteous and punctual throughout; thanks given with card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大致有禮，偶有小失誤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Generally courteous with minor lapses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禮儀一般，需教師提醒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Average etiquette; needed teacher reminders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失禮或超時，影響用家觀感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Discourteous or overtime, affecting users’ impression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小組協作 (×10)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Teamwork (×10)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角色分明，互相補位，準時完成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Clear roles, mutual support, finished on time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有分工，協作大致順暢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Task allocation present; mostly smooth collaboration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分工不清，部分組員閒置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Unclear allocation; some members idle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各自為政，影響進度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Everyone for themselves; progress affected</w:t>
            </w:r>
          </w:p>
        </w:tc>
      </w:tr>
    </w:tbl>
    <w:p/>
    <w:p>
      <w:pPr>
        <w:pStyle w:val="Heading1"/>
      </w:pPr>
      <w:r>
        <w:t>等級對照｜Grade Conversion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總分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Total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等級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Grade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說明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Descriptor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85–100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85–100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A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表現卓越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Outstanding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70–84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70–84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B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B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表現良好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Good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55–69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55–69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C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C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達到要求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Meets requirements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40–54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40–54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D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D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尚待改進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Needs improvement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0–39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0–39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E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未達要求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Below requirements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47" w:right="1800" w:bottom="124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  <w:rFonts w:ascii="Arial" w:hAnsi="Arial" w:eastAsia="MingLiU" w:cs="Arial"/>
      </w:rPr>
      <w:t>聖公會呂明才中學 S.K.H. Lui Ming Choi Secondary School｜創科班 Little Makers Class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ngLiU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