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i w:val="0"/>
          <w:color w:val="1F4E79"/>
          <w:sz w:val="32"/>
          <w:rFonts w:ascii="Arial" w:hAnsi="Arial" w:eastAsia="MingLiU" w:cs="Arial"/>
        </w:rPr>
        <w:t>聖公會呂明才中學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S.K.H. Lui Ming Choi Secondary School</w:t>
      </w:r>
    </w:p>
    <w:p>
      <w:pPr>
        <w:jc w:val="center"/>
      </w:pPr>
      <w:r>
        <w:rPr>
          <w:b/>
          <w:i w:val="0"/>
          <w:sz w:val="26"/>
          <w:rFonts w:ascii="Arial" w:hAnsi="Arial" w:eastAsia="MingLiU" w:cs="Arial"/>
        </w:rPr>
        <w:t>創科班 Little Makers Class</w:t>
      </w:r>
    </w:p>
    <w:p>
      <w:pPr>
        <w:jc w:val="center"/>
      </w:pPr>
      <w:r>
        <w:rPr>
          <w:b/>
          <w:i w:val="0"/>
          <w:color w:val="1F4E79"/>
          <w:sz w:val="28"/>
          <w:rFonts w:ascii="Arial" w:hAnsi="Arial" w:eastAsia="MingLiU" w:cs="Arial"/>
        </w:rPr>
        <w:t>第 25 堂 Lesson 25</w:t>
      </w:r>
    </w:p>
    <w:p>
      <w:pPr>
        <w:jc w:val="center"/>
      </w:pPr>
      <w:r>
        <w:rPr>
          <w:b/>
          <w:i w:val="0"/>
          <w:sz w:val="28"/>
          <w:rFonts w:ascii="Arial" w:hAnsi="Arial" w:eastAsia="MingLiU" w:cs="Arial"/>
        </w:rPr>
        <w:t>社區成果展</w:t>
      </w:r>
    </w:p>
    <w:p>
      <w:pPr>
        <w:jc w:val="center"/>
      </w:pPr>
      <w:r>
        <w:rPr>
          <w:b/>
          <w:i w:val="0"/>
          <w:color w:val="595959"/>
          <w:sz w:val="24"/>
          <w:rFonts w:ascii="Arial" w:hAnsi="Arial" w:eastAsia="MingLiU" w:cs="Arial"/>
        </w:rPr>
        <w:t>Community Showcase</w:t>
      </w:r>
    </w:p>
    <w:p>
      <w:pPr>
        <w:jc w:val="center"/>
      </w:pPr>
      <w:r>
        <w:rPr>
          <w:b/>
          <w:i w:val="0"/>
          <w:color w:val="1F4E79"/>
          <w:sz w:val="26"/>
          <w:rFonts w:ascii="Arial" w:hAnsi="Arial" w:eastAsia="MingLiU" w:cs="Arial"/>
        </w:rPr>
        <w:t>家課 Homework</w:t>
      </w:r>
    </w:p>
    <w:p/>
    <w:p>
      <w:r>
        <w:rPr>
          <w:b w:val="0"/>
          <w:i w:val="0"/>
          <w:sz w:val="22"/>
          <w:rFonts w:ascii="Arial" w:hAnsi="Arial" w:eastAsia="MingLiU" w:cs="Arial"/>
        </w:rPr>
        <w:t>姓名：＿＿＿＿　班別：＿＿＿＿　學號：＿＿＿＿　日期：＿＿＿＿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Name: ____ Class: ____ No.: ____ Date: ____</w:t>
      </w:r>
    </w:p>
    <w:p>
      <w:r>
        <w:rPr>
          <w:b w:val="0"/>
          <w:i w:val="0"/>
          <w:sz w:val="22"/>
          <w:rFonts w:ascii="Arial" w:hAnsi="Arial" w:eastAsia="MingLiU" w:cs="Arial"/>
        </w:rPr>
        <w:t>說明：完成甲、乙兩部；乙部第 3 題為單元反思，須具體，忌空泛口號。</w:t>
      </w:r>
    </w:p>
    <w:p>
      <w:r>
        <w:rPr>
          <w:b w:val="0"/>
          <w:i w:val="0"/>
          <w:color w:val="595959"/>
          <w:sz w:val="20"/>
          <w:rFonts w:ascii="Arial" w:hAnsi="Arial" w:eastAsia="MingLiU" w:cs="Arial"/>
        </w:rPr>
        <w:t>Instructions: complete Sections A and B; B3 is the unit reflection — be specific, no empty slogans.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2-l25-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甲部：選擇題（每題 2 分，共 8 分）｜Section A: Multiple Choice (2 marks each; 8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三分鐘報告的正確結構是：</w:t>
        <w:br/>
        <w:t>A. 自我介紹 → 唱歌 → 致謝</w:t>
        <w:br/>
        <w:t>B. 設計意念 → 用家回饋 → 改良之處 → 實物示範</w:t>
        <w:br/>
        <w:t>C. 產品價錢 → 成本分析 → 銷售預測</w:t>
        <w:br/>
        <w:t>D. 組員名單 → 分工表 → 缺席紀錄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The correct structure of the three-minute talk is:</w:t>
        <w:br/>
        <w:t>A. Self-introduction → singing → thanks</w:t>
        <w:br/>
        <w:t>B. Design idea → user feedback → improvements → live demo</w:t>
        <w:br/>
        <w:t>C. Price → cost analysis → sales forecast</w:t>
        <w:br/>
        <w:t>D. Member list → task table → absence record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嘉賓提出你答不上的問題，最恰當的回應是：</w:t>
        <w:br/>
        <w:t>A. 誠實承認未試過，承諾會後再試，多謝建議</w:t>
        <w:br/>
        <w:t>B. 即場編一個答案</w:t>
        <w:br/>
        <w:t>C. 說嘉賓的問題不重要</w:t>
        <w:br/>
        <w:t>D. 把問題推給其他組別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A guest asks something you cannot answer. The best response is:</w:t>
        <w:br/>
        <w:t>A. Honestly admit it’s untested, promise to try afterwards, thank them</w:t>
        <w:br/>
        <w:t>B. Invent an answer on the spot</w:t>
        <w:br/>
        <w:t>C. Say the question doesn’t matter</w:t>
        <w:br/>
        <w:t>D. Pass the question to another group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以下哪項符合互評要求？</w:t>
        <w:br/>
        <w:t>A. 為自己組別給滿分</w:t>
        <w:br/>
        <w:t>B. 為兩個其他組別評分，附具體評語及一項改善建議</w:t>
        <w:br/>
        <w:t>C. 所有組別給同一分數</w:t>
        <w:br/>
        <w:t>D. 只填分數，不寫評語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Which meets the peer-assessment requirements?</w:t>
        <w:br/>
        <w:t>A. Give your own group full marks</w:t>
        <w:br/>
        <w:t>B. Score two other groups with specific comments and one suggestion</w:t>
        <w:br/>
        <w:t>C. Give every group identical scores</w:t>
        <w:br/>
        <w:t>D. Fill in scores only, no comments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展位佈置時，必須注意：</w:t>
        <w:br/>
        <w:t>A. 作品越堆越高，顯得豐富</w:t>
        <w:br/>
        <w:t>B. 播放大聲音樂吸引注意</w:t>
        <w:br/>
        <w:t>C. 把設計圖收起，保持神秘感</w:t>
        <w:br/>
        <w:t>D. 尖角以膠紙包裹，展位保持整潔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When setting up the booth, you must:</w:t>
        <w:br/>
        <w:t>A. Pile products high to look abundant</w:t>
        <w:br/>
        <w:t>B. Play loud music to attract attention</w:t>
        <w:br/>
        <w:t>C. Hide the drawings for mystique</w:t>
        <w:br/>
        <w:t>D. Cover sharp corners with tape; keep the booth tidy</w:t>
      </w:r>
    </w:p>
    <w:p>
      <w:pPr>
        <w:pStyle w:val="Heading1"/>
      </w:pPr>
      <w:r>
        <w:t>乙部：問答題（共 12 分）｜Section B: Structured Questions (12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請為你的小組產品寫出三分鐘報告的大綱（四部分），並在「用家回饋」部分引用一句真實的用家原話。（5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Write the outline of your group’s three-minute talk (four parts), quoting one genuine user line in the “user feedback” part. (5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請為另一組的作品寫一句「具體評語」（針對作品細節及用家效果，不可是空泛讚美）。（3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Write one specific comment on another group’s product (on product detail and user effect — no vague praise). (3 marks)</w:t>
      </w:r>
    </w:p>
    <w:p>
      <w:pPr>
        <w:pStyle w:val="ListNumber"/>
      </w:pPr>
      <w:r>
        <w:rPr>
          <w:b w:val="0"/>
          <w:i w:val="0"/>
          <w:sz w:val="22"/>
          <w:rFonts w:ascii="Arial" w:hAnsi="Arial" w:eastAsia="MingLiU" w:cs="Arial"/>
        </w:rPr>
        <w:t>單元反思：(a) 本單元你最大的得著是什麼？(b) 你的作品還有一項可再改良之處是什麼？(c) 給下一屆同學一句實用建議。（4 分）</w:t>
      </w:r>
      <w:r>
        <w:rPr>
          <w:b w:val="0"/>
          <w:i w:val="0"/>
          <w:color w:val="595959"/>
          <w:sz w:val="20"/>
          <w:rFonts w:ascii="Arial" w:hAnsi="Arial" w:eastAsia="MingLiU" w:cs="Arial"/>
        </w:rPr>
        <w:br/>
        <w:t>Unit reflection: (a) your greatest takeaway from this unit? (b) one further improvement for your product? (c) one practical tip for next year’s students. (4 marks)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p>
      <w:r>
        <w:rPr>
          <w:b w:val="0"/>
          <w:i w:val="0"/>
          <w:color w:val="AAAAAA"/>
          <w:sz w:val="22"/>
          <w:rFonts w:ascii="Arial" w:hAnsi="Arial" w:eastAsia="MingLiU" w:cs="Arial"/>
        </w:rP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247" w:right="1800" w:bottom="1247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  <w:rFonts w:ascii="Arial" w:hAnsi="Arial" w:eastAsia="MingLiU" w:cs="Arial"/>
      </w:rPr>
      <w:t>聖公會呂明才中學 S.K.H. Lui Ming Choi Secondary School｜創科班 Little Makers Class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ngLiU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ngLiU" w:cs="Arial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