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F4E79"/>
          <w:sz w:val="32"/>
          <w:rFonts w:ascii="Arial" w:hAnsi="Arial" w:eastAsia="MingLiU" w:cs="Arial"/>
        </w:rPr>
        <w:t>聖公會呂明才中學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S.K.H. Lui Ming Choi Secondary School</w:t>
      </w:r>
    </w:p>
    <w:p>
      <w:pPr>
        <w:jc w:val="center"/>
      </w:pPr>
      <w:r>
        <w:rPr>
          <w:b/>
          <w:i w:val="0"/>
          <w:sz w:val="26"/>
          <w:rFonts w:ascii="Arial" w:hAnsi="Arial" w:eastAsia="MingLiU" w:cs="Arial"/>
        </w:rPr>
        <w:t>創科班 Little Makers Class</w:t>
      </w:r>
    </w:p>
    <w:p>
      <w:pPr>
        <w:jc w:val="center"/>
      </w:pPr>
      <w:r>
        <w:rPr>
          <w:b/>
          <w:i w:val="0"/>
          <w:color w:val="1F4E79"/>
          <w:sz w:val="28"/>
          <w:rFonts w:ascii="Arial" w:hAnsi="Arial" w:eastAsia="MingLiU" w:cs="Arial"/>
        </w:rPr>
        <w:t>第 25 堂 Lesson 25</w:t>
      </w:r>
    </w:p>
    <w:p>
      <w:pPr>
        <w:jc w:val="center"/>
      </w:pPr>
      <w:r>
        <w:rPr>
          <w:b/>
          <w:i w:val="0"/>
          <w:sz w:val="28"/>
          <w:rFonts w:ascii="Arial" w:hAnsi="Arial" w:eastAsia="MingLiU" w:cs="Arial"/>
        </w:rPr>
        <w:t>社區成果展</w:t>
      </w:r>
    </w:p>
    <w:p>
      <w:pPr>
        <w:jc w:val="center"/>
      </w:pPr>
      <w:r>
        <w:rPr>
          <w:b/>
          <w:i w:val="0"/>
          <w:color w:val="595959"/>
          <w:sz w:val="24"/>
          <w:rFonts w:ascii="Arial" w:hAnsi="Arial" w:eastAsia="MingLiU" w:cs="Arial"/>
        </w:rPr>
        <w:t>Community Showcase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評分準則 Assessment Rubric</w:t>
      </w:r>
    </w:p>
    <w:p/>
    <w:p>
      <w:r>
        <w:rPr>
          <w:b w:val="0"/>
          <w:i w:val="0"/>
          <w:sz w:val="22"/>
          <w:rFonts w:ascii="Arial" w:hAnsi="Arial" w:eastAsia="MingLiU" w:cs="Arial"/>
        </w:rPr>
        <w:t>評分方法：每項按 1–4 級評分，總分＝Σ（等級 × 權重），滿分 100 分。</w:t>
      </w:r>
    </w:p>
    <w:p>
      <w:r>
        <w:rPr>
          <w:b w:val="0"/>
          <w:i w:val="0"/>
          <w:color w:val="595959"/>
          <w:sz w:val="20"/>
          <w:rFonts w:ascii="Arial" w:hAnsi="Arial" w:eastAsia="MingLiU" w:cs="Arial"/>
        </w:rPr>
        <w:t>Scoring: rate each criterion 1–4; total = Σ(level × weight); maximum 100.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評分項目（權重）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Criterion (weight)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優秀 4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Excellent 4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良好 3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Good 3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合格 2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Satisfactory 2</w:t>
            </w:r>
          </w:p>
        </w:tc>
        <w:tc>
          <w:tcPr>
            <w:tcW w:type="dxa" w:w="1728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待改進 1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Needs improvement 1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報告內容 (×30)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Talk content (×30)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四部分齊備，引用用家原話，改良有具體數字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All four parts; user quote cited; improvements with numbers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四部分齊備，細節稍欠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All four parts; details slightly thin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缺少一部分內容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One part missing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缺少兩部分或以上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Two or more parts missing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表達技巧 (×20)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Delivery (×20)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三分鐘內完成，條理分明，能回應提問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Finished in 3 min; clear; handles questions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大致準時，輕微超時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Mostly on time; slightly overtime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超時甚多或回應提問困難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Well overtime or struggles with questions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未能完成報告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Could not complete the talk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互評質素 (×25)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Peer assessment (×25)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評 ≥2 組，評語具體，每份有改善建議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≥2 groups scored; specific comments; suggestions each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完成評分，評語大致具體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Scoring done; comments mostly specific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評語空泛或缺少改善建議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Vague comments or missing suggestions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未完成互評或評自己組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Incomplete, or scored own group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展位及禮儀 (×15)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Booth &amp; etiquette (×15)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展位整潔美觀，接待嘉賓有禮周到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Tidy, attractive booth; courteous reception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大致妥當，偶有小混亂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Mostly fine; minor disorder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展位凌亂或接待失禮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Messy booth or discourteous reception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沒有佈置展位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No booth setup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單元反思 (×10)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Unit reflection (×10)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得著具體，再改良可行，建議實用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Specific takeaway; feasible improvement; practical tip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內容完整，稍欠具體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Complete but slightly vague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流於空泛口號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Empty slogans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未交反思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Not submitted</w:t>
            </w:r>
          </w:p>
        </w:tc>
      </w:tr>
    </w:tbl>
    <w:p/>
    <w:p>
      <w:pPr>
        <w:pStyle w:val="Heading1"/>
      </w:pPr>
      <w:r>
        <w:t>等級對照｜Grade Conversion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總分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Total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等級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Grade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  <w:i w:val="0"/>
                <w:sz w:val="21"/>
                <w:rFonts w:ascii="Arial" w:hAnsi="Arial" w:eastAsia="MingLiU" w:cs="Arial"/>
              </w:rPr>
              <w:t>說明</w:t>
            </w:r>
            <w:r>
              <w:rPr>
                <w:b/>
                <w:i w:val="0"/>
                <w:color w:val="595959"/>
                <w:sz w:val="19"/>
                <w:rFonts w:ascii="Arial" w:hAnsi="Arial" w:eastAsia="MingLiU" w:cs="Arial"/>
              </w:rPr>
              <w:br/>
              <w:t>Descriptor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85–100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85–100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A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表現卓越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Outstanding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70–84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70–84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B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B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表現良好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Good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55–69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55–69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C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C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達到要求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Meets requirements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40–54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40–54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D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D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尚待改進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Needs improvement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0–39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0–39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E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1"/>
                <w:rFonts w:ascii="Arial" w:hAnsi="Arial" w:eastAsia="MingLiU" w:cs="Arial"/>
              </w:rPr>
              <w:t>未達要求</w:t>
            </w:r>
            <w:r>
              <w:rPr>
                <w:b w:val="0"/>
                <w:i w:val="0"/>
                <w:color w:val="595959"/>
                <w:sz w:val="19"/>
                <w:rFonts w:ascii="Arial" w:hAnsi="Arial" w:eastAsia="MingLiU" w:cs="Arial"/>
              </w:rPr>
              <w:br/>
              <w:t>Below requirements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47" w:right="1800" w:bottom="124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  <w:rFonts w:ascii="Arial" w:hAnsi="Arial" w:eastAsia="MingLiU" w:cs="Arial"/>
      </w:rPr>
      <w:t>聖公會呂明才中學 S.K.H. Lui Ming Choi Secondary School｜創科班 Little Makers Class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ngLiU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