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粗网格 ILES 湍流验证算例调研报告</w:t>
      </w:r>
    </w:p>
    <w:p>
      <w:pPr>
        <w:pStyle w:val="Subtitle"/>
      </w:pPr>
      <w:r>
        <w:t>研究背景 参考配置 可信数据与验证方法</w:t>
      </w:r>
    </w:p>
    <w:p>
      <w:pPr>
        <w:spacing w:after="320"/>
      </w:pPr>
      <w:r>
        <w:rPr>
          <w:sz w:val="20"/>
        </w:rPr>
        <w:t>调研日期：2026 年 10 月 3 日　适用对象：WCNS 多块结构网格可压缩流程序</w:t>
      </w:r>
    </w:p>
    <w:p>
      <w:pPr>
        <w:pStyle w:val="Heading1"/>
      </w:pPr>
      <w:r>
        <w:t>1 研究结论与范围</w:t>
      </w:r>
    </w:p>
    <w:p>
      <w:r>
        <w:rPr>
          <w:b w:val="0"/>
        </w:rPr>
        <w:t>建议在已有槽道湍流、周期山、SD7003 翼型和超声速压缩拐角的基础上，首先增加 Taylor–Green 涡、衰减均匀各向同性湍流和低雷诺数后台阶，随后增加方管、零压梯度边界层及激波与各向同性湍流相互作用。这些算例分别隔离能量耗散、近壁输运、入口湍流、分离再附和激波捕捉问题，能够解释复杂算例中的误差来自哪里。圆管、逆压梯度边界层、混合层、射流、壁面隆起和圆柱尾流则用于检验跨流动类型的适用性。</w:t>
      </w:r>
    </w:p>
    <w:p>
      <w:r>
        <w:rPr>
          <w:b w:val="0"/>
        </w:rPr>
        <w:t>本报告详细综述 19 类算例，其中 4 类已在程序中实现，15 类为新增候选。Gaussian bump 等近期研究作为经典算例的后续发展讨论。每类均说明物理背景、可复现配置或实验设计、参考结果及数据入口、应比较的统计量、对湍流计算的指导意义和研究进展。这里的 ILES 指保留分子黏性、没有显式 SGS 模型和壁面模型，由空间离散、通量、滤波或限幅产生隐式小尺度耗散的三维非定常计算。</w:t>
      </w:r>
    </w:p>
    <w:p>
      <w:r>
        <w:rPr>
          <w:b w:val="0"/>
        </w:rPr>
        <w:t>用户所说的“精确结果”，在湍流验证中应理解为有明确来源和精度说明的实验或充分分辨 DNS 统计。本报告区分原始数值表、论文表值、读图近似和高分辨率 LES；没有取得原始数组的项目明确标出。DNS 仍有离散、计算域和采样误差，实验仍受探针分辨率、壁面条件和入口状态影响。不存在一组可跨不同工况直接使用的通用“真值”。</w:t>
      </w:r>
    </w:p>
    <w:p>
      <w:r>
        <w:rPr>
          <w:b w:val="0"/>
        </w:rPr>
        <w:t>本次只开展文献调研、已有资料核对和报告制作，没有修改求解器、生成新增生产算例或启动流场计算。有关结构网格和验证顺序的建议属于本报告的工程判断，不是文献已验证的 WCNS 配置。</w:t>
      </w:r>
    </w:p>
    <w:p>
      <w:pPr>
        <w:pStyle w:val="Heading1"/>
        <w:pageBreakBefore/>
      </w:pPr>
      <w:r>
        <w:t>2 算例体系与选择依据</w:t>
      </w:r>
    </w:p>
    <w:p>
      <w:r>
        <w:rPr>
          <w:b w:val="0"/>
        </w:rPr>
        <w:t>表 1 按主要物理机制归类。DNS 与实验表示主参考类型；“补充 LES”不能替代独立验证证据。表内工况用于选取参考数据，具体边界条件和数据限制见各节。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691"/>
        <w:gridCol w:w="1800"/>
        <w:gridCol w:w="2232"/>
        <w:gridCol w:w="2736"/>
        <w:gridCol w:w="2189"/>
      </w:tblGrid>
      <w:tr>
        <w:trPr>
          <w:cantSplit/>
          <w:tblHeader/>
        </w:trPr>
        <w:tc>
          <w:tcPr>
            <w:tcW w:type="dxa" w:w="691"/>
            <w:vAlign w:val="center"/>
            <w:shd w:fill="DEE7EF"/>
          </w:tcPr>
          <w:p>
            <w:pPr>
              <w:spacing w:after="0" w:line="264" w:lineRule="auto"/>
              <w:jc w:val="center"/>
            </w:pPr>
            <w:r>
              <w:rPr>
                <w:b/>
                <w:sz w:val="20"/>
              </w:rPr>
              <w:t>编号</w:t>
            </w:r>
          </w:p>
        </w:tc>
        <w:tc>
          <w:tcPr>
            <w:tcW w:type="dxa" w:w="1800"/>
            <w:vAlign w:val="center"/>
            <w:shd w:fill="DEE7EF"/>
          </w:tcPr>
          <w:p>
            <w:pPr>
              <w:spacing w:after="0" w:line="264" w:lineRule="auto"/>
              <w:jc w:val="left"/>
            </w:pPr>
            <w:r>
              <w:rPr>
                <w:b/>
                <w:sz w:val="20"/>
              </w:rPr>
              <w:t>算例</w:t>
            </w:r>
          </w:p>
        </w:tc>
        <w:tc>
          <w:tcPr>
            <w:tcW w:type="dxa" w:w="2232"/>
            <w:vAlign w:val="center"/>
            <w:shd w:fill="DEE7EF"/>
          </w:tcPr>
          <w:p>
            <w:pPr>
              <w:spacing w:after="0" w:line="264" w:lineRule="auto"/>
              <w:jc w:val="left"/>
            </w:pPr>
            <w:r>
              <w:rPr>
                <w:b/>
                <w:sz w:val="20"/>
              </w:rPr>
              <w:t>主参考工况</w:t>
            </w:r>
          </w:p>
        </w:tc>
        <w:tc>
          <w:tcPr>
            <w:tcW w:type="dxa" w:w="2736"/>
            <w:vAlign w:val="center"/>
            <w:shd w:fill="DEE7EF"/>
          </w:tcPr>
          <w:p>
            <w:pPr>
              <w:spacing w:after="0" w:line="264" w:lineRule="auto"/>
              <w:jc w:val="left"/>
            </w:pPr>
            <w:r>
              <w:rPr>
                <w:b/>
                <w:sz w:val="20"/>
              </w:rPr>
              <w:t>主测试目标</w:t>
            </w:r>
          </w:p>
        </w:tc>
        <w:tc>
          <w:tcPr>
            <w:tcW w:type="dxa" w:w="2189"/>
            <w:vAlign w:val="center"/>
            <w:shd w:fill="DEE7EF"/>
          </w:tcPr>
          <w:p>
            <w:pPr>
              <w:spacing w:after="0" w:line="264" w:lineRule="auto"/>
              <w:jc w:val="left"/>
            </w:pPr>
            <w:r>
              <w:rPr>
                <w:b/>
                <w:sz w:val="20"/>
              </w:rPr>
              <w:t>参考类型</w:t>
            </w:r>
          </w:p>
        </w:tc>
      </w:tr>
      <w:tr>
        <w:trPr>
          <w:cantSplit/>
        </w:trPr>
        <w:tc>
          <w:tcPr>
            <w:tcW w:type="dxa" w:w="691"/>
            <w:vAlign w:val="center"/>
          </w:tcPr>
          <w:p>
            <w:pPr>
              <w:spacing w:after="0" w:line="264" w:lineRule="auto"/>
              <w:jc w:val="center"/>
            </w:pPr>
            <w:r>
              <w:rPr>
                <w:b w:val="0"/>
                <w:sz w:val="20"/>
              </w:rPr>
              <w:t>C01</w:t>
            </w:r>
          </w:p>
        </w:tc>
        <w:tc>
          <w:tcPr>
            <w:tcW w:type="dxa" w:w="1800"/>
            <w:vAlign w:val="center"/>
          </w:tcPr>
          <w:p>
            <w:pPr>
              <w:spacing w:after="0" w:line="264" w:lineRule="auto"/>
              <w:jc w:val="left"/>
            </w:pPr>
            <w:r>
              <w:rPr>
                <w:b w:val="0"/>
                <w:sz w:val="20"/>
              </w:rPr>
              <w:t>平面槽道</w:t>
            </w:r>
          </w:p>
        </w:tc>
        <w:tc>
          <w:tcPr>
            <w:tcW w:type="dxa" w:w="2232"/>
            <w:vAlign w:val="center"/>
          </w:tcPr>
          <w:p>
            <w:pPr>
              <w:spacing w:after="0" w:line="264" w:lineRule="auto"/>
              <w:jc w:val="left"/>
            </w:pPr>
            <w:r>
              <w:rPr>
                <w:b w:val="0"/>
                <w:sz w:val="20"/>
              </w:rPr>
              <w:t>Reτ 180 及 550–5200</w:t>
            </w:r>
          </w:p>
        </w:tc>
        <w:tc>
          <w:tcPr>
            <w:tcW w:type="dxa" w:w="2736"/>
            <w:vAlign w:val="center"/>
          </w:tcPr>
          <w:p>
            <w:pPr>
              <w:spacing w:after="0" w:line="264" w:lineRule="auto"/>
              <w:jc w:val="left"/>
            </w:pPr>
            <w:r>
              <w:rPr>
                <w:b w:val="0"/>
                <w:sz w:val="20"/>
              </w:rPr>
              <w:t>壁面应力与湍流维持</w:t>
            </w:r>
          </w:p>
        </w:tc>
        <w:tc>
          <w:tcPr>
            <w:tcW w:type="dxa" w:w="2189"/>
            <w:vAlign w:val="center"/>
          </w:tcPr>
          <w:p>
            <w:pPr>
              <w:spacing w:after="0" w:line="264" w:lineRule="auto"/>
              <w:jc w:val="left"/>
            </w:pPr>
            <w:r>
              <w:rPr>
                <w:b w:val="0"/>
                <w:sz w:val="20"/>
              </w:rPr>
              <w:t>DNS</w:t>
            </w:r>
          </w:p>
        </w:tc>
      </w:tr>
      <w:tr>
        <w:trPr>
          <w:cantSplit/>
        </w:trPr>
        <w:tc>
          <w:tcPr>
            <w:tcW w:type="dxa" w:w="691"/>
            <w:vAlign w:val="center"/>
          </w:tcPr>
          <w:p>
            <w:pPr>
              <w:spacing w:after="0" w:line="264" w:lineRule="auto"/>
              <w:jc w:val="center"/>
            </w:pPr>
            <w:r>
              <w:rPr>
                <w:b w:val="0"/>
                <w:sz w:val="20"/>
              </w:rPr>
              <w:t>C02</w:t>
            </w:r>
          </w:p>
        </w:tc>
        <w:tc>
          <w:tcPr>
            <w:tcW w:type="dxa" w:w="1800"/>
            <w:vAlign w:val="center"/>
          </w:tcPr>
          <w:p>
            <w:pPr>
              <w:spacing w:after="0" w:line="264" w:lineRule="auto"/>
              <w:jc w:val="left"/>
            </w:pPr>
            <w:r>
              <w:rPr>
                <w:b w:val="0"/>
                <w:sz w:val="20"/>
              </w:rPr>
              <w:t>周期山</w:t>
            </w:r>
          </w:p>
        </w:tc>
        <w:tc>
          <w:tcPr>
            <w:tcW w:type="dxa" w:w="2232"/>
            <w:vAlign w:val="center"/>
          </w:tcPr>
          <w:p>
            <w:pPr>
              <w:spacing w:after="0" w:line="264" w:lineRule="auto"/>
              <w:jc w:val="left"/>
            </w:pPr>
            <w:r>
              <w:rPr>
                <w:b w:val="0"/>
                <w:sz w:val="20"/>
              </w:rPr>
              <w:t>Reₕ 1400／2800／10595</w:t>
            </w:r>
          </w:p>
        </w:tc>
        <w:tc>
          <w:tcPr>
            <w:tcW w:type="dxa" w:w="2736"/>
            <w:vAlign w:val="center"/>
          </w:tcPr>
          <w:p>
            <w:pPr>
              <w:spacing w:after="0" w:line="264" w:lineRule="auto"/>
              <w:jc w:val="left"/>
            </w:pPr>
            <w:r>
              <w:rPr>
                <w:b w:val="0"/>
                <w:sz w:val="20"/>
              </w:rPr>
              <w:t>周期驱动与分离再附</w:t>
            </w:r>
          </w:p>
        </w:tc>
        <w:tc>
          <w:tcPr>
            <w:tcW w:type="dxa" w:w="2189"/>
            <w:vAlign w:val="center"/>
          </w:tcPr>
          <w:p>
            <w:pPr>
              <w:spacing w:after="0" w:line="264" w:lineRule="auto"/>
              <w:jc w:val="left"/>
            </w:pPr>
            <w:r>
              <w:rPr>
                <w:b w:val="0"/>
                <w:sz w:val="20"/>
              </w:rPr>
              <w:t>分工况 DNS／LES</w:t>
            </w:r>
          </w:p>
        </w:tc>
      </w:tr>
      <w:tr>
        <w:trPr>
          <w:cantSplit/>
        </w:trPr>
        <w:tc>
          <w:tcPr>
            <w:tcW w:type="dxa" w:w="691"/>
            <w:vAlign w:val="center"/>
          </w:tcPr>
          <w:p>
            <w:pPr>
              <w:spacing w:after="0" w:line="264" w:lineRule="auto"/>
              <w:jc w:val="center"/>
            </w:pPr>
            <w:r>
              <w:rPr>
                <w:b w:val="0"/>
                <w:sz w:val="20"/>
              </w:rPr>
              <w:t>C03</w:t>
            </w:r>
          </w:p>
        </w:tc>
        <w:tc>
          <w:tcPr>
            <w:tcW w:type="dxa" w:w="1800"/>
            <w:vAlign w:val="center"/>
          </w:tcPr>
          <w:p>
            <w:pPr>
              <w:spacing w:after="0" w:line="264" w:lineRule="auto"/>
              <w:jc w:val="left"/>
            </w:pPr>
            <w:r>
              <w:rPr>
                <w:b w:val="0"/>
                <w:sz w:val="20"/>
              </w:rPr>
              <w:t>SD7003</w:t>
            </w:r>
          </w:p>
        </w:tc>
        <w:tc>
          <w:tcPr>
            <w:tcW w:type="dxa" w:w="2232"/>
            <w:vAlign w:val="center"/>
          </w:tcPr>
          <w:p>
            <w:pPr>
              <w:spacing w:after="0" w:line="264" w:lineRule="auto"/>
              <w:jc w:val="left"/>
            </w:pPr>
            <w:r>
              <w:rPr>
                <w:b w:val="0"/>
                <w:sz w:val="20"/>
              </w:rPr>
              <w:t>Re</w:t>
            </w:r>
            <w:r>
              <w:rPr>
                <w:b w:val="0"/>
                <w:sz w:val="20"/>
                <w:vertAlign w:val="subscript"/>
              </w:rPr>
              <w:t>c</w:t>
            </w:r>
            <w:r>
              <w:rPr>
                <w:b w:val="0"/>
                <w:sz w:val="20"/>
              </w:rPr>
              <w:t xml:space="preserve"> 60000，α 4°</w:t>
            </w:r>
          </w:p>
        </w:tc>
        <w:tc>
          <w:tcPr>
            <w:tcW w:type="dxa" w:w="2736"/>
            <w:vAlign w:val="center"/>
          </w:tcPr>
          <w:p>
            <w:pPr>
              <w:spacing w:after="0" w:line="264" w:lineRule="auto"/>
              <w:jc w:val="left"/>
            </w:pPr>
            <w:r>
              <w:rPr>
                <w:b w:val="0"/>
                <w:sz w:val="20"/>
              </w:rPr>
              <w:t>分离泡与自然转捩</w:t>
            </w:r>
          </w:p>
        </w:tc>
        <w:tc>
          <w:tcPr>
            <w:tcW w:type="dxa" w:w="2189"/>
            <w:vAlign w:val="center"/>
          </w:tcPr>
          <w:p>
            <w:pPr>
              <w:spacing w:after="0" w:line="264" w:lineRule="auto"/>
              <w:jc w:val="left"/>
            </w:pPr>
            <w:r>
              <w:rPr>
                <w:b w:val="0"/>
                <w:sz w:val="20"/>
              </w:rPr>
              <w:t>实验，补充 ILES</w:t>
            </w:r>
          </w:p>
        </w:tc>
      </w:tr>
      <w:tr>
        <w:trPr>
          <w:cantSplit/>
        </w:trPr>
        <w:tc>
          <w:tcPr>
            <w:tcW w:type="dxa" w:w="691"/>
            <w:vAlign w:val="center"/>
          </w:tcPr>
          <w:p>
            <w:pPr>
              <w:spacing w:after="0" w:line="264" w:lineRule="auto"/>
              <w:jc w:val="center"/>
            </w:pPr>
            <w:r>
              <w:rPr>
                <w:b w:val="0"/>
                <w:sz w:val="20"/>
              </w:rPr>
              <w:t>C04</w:t>
            </w:r>
          </w:p>
        </w:tc>
        <w:tc>
          <w:tcPr>
            <w:tcW w:type="dxa" w:w="1800"/>
            <w:vAlign w:val="center"/>
          </w:tcPr>
          <w:p>
            <w:pPr>
              <w:spacing w:after="0" w:line="264" w:lineRule="auto"/>
              <w:jc w:val="left"/>
            </w:pPr>
            <w:r>
              <w:rPr>
                <w:b w:val="0"/>
                <w:sz w:val="20"/>
              </w:rPr>
              <w:t>24° 压缩拐角</w:t>
            </w:r>
          </w:p>
        </w:tc>
        <w:tc>
          <w:tcPr>
            <w:tcW w:type="dxa" w:w="2232"/>
            <w:vAlign w:val="center"/>
          </w:tcPr>
          <w:p>
            <w:pPr>
              <w:spacing w:after="0" w:line="264" w:lineRule="auto"/>
              <w:jc w:val="left"/>
            </w:pPr>
            <w:r>
              <w:rPr>
                <w:b w:val="0"/>
                <w:sz w:val="20"/>
              </w:rPr>
              <w:t>Ma 2.25，Reδ₀ 15800</w:t>
            </w:r>
          </w:p>
        </w:tc>
        <w:tc>
          <w:tcPr>
            <w:tcW w:type="dxa" w:w="2736"/>
            <w:vAlign w:val="center"/>
          </w:tcPr>
          <w:p>
            <w:pPr>
              <w:spacing w:after="0" w:line="264" w:lineRule="auto"/>
              <w:jc w:val="left"/>
            </w:pPr>
            <w:r>
              <w:rPr>
                <w:b w:val="0"/>
                <w:sz w:val="20"/>
              </w:rPr>
              <w:t>激波分离与再附加热</w:t>
            </w:r>
          </w:p>
        </w:tc>
        <w:tc>
          <w:tcPr>
            <w:tcW w:type="dxa" w:w="2189"/>
            <w:vAlign w:val="center"/>
          </w:tcPr>
          <w:p>
            <w:pPr>
              <w:spacing w:after="0" w:line="264" w:lineRule="auto"/>
              <w:jc w:val="left"/>
            </w:pPr>
            <w:r>
              <w:rPr>
                <w:b w:val="0"/>
                <w:sz w:val="20"/>
              </w:rPr>
              <w:t>高分辨率计算</w:t>
            </w:r>
          </w:p>
        </w:tc>
      </w:tr>
      <w:tr>
        <w:trPr>
          <w:cantSplit/>
        </w:trPr>
        <w:tc>
          <w:tcPr>
            <w:tcW w:type="dxa" w:w="691"/>
            <w:vAlign w:val="center"/>
          </w:tcPr>
          <w:p>
            <w:pPr>
              <w:spacing w:after="0" w:line="264" w:lineRule="auto"/>
              <w:jc w:val="center"/>
            </w:pPr>
            <w:r>
              <w:rPr>
                <w:b w:val="0"/>
                <w:sz w:val="20"/>
              </w:rPr>
              <w:t>C05</w:t>
            </w:r>
          </w:p>
        </w:tc>
        <w:tc>
          <w:tcPr>
            <w:tcW w:type="dxa" w:w="1800"/>
            <w:vAlign w:val="center"/>
          </w:tcPr>
          <w:p>
            <w:pPr>
              <w:spacing w:after="0" w:line="264" w:lineRule="auto"/>
              <w:jc w:val="left"/>
            </w:pPr>
            <w:r>
              <w:rPr>
                <w:b w:val="0"/>
                <w:sz w:val="20"/>
              </w:rPr>
              <w:t>Taylor–Green 涡</w:t>
            </w:r>
          </w:p>
        </w:tc>
        <w:tc>
          <w:tcPr>
            <w:tcW w:type="dxa" w:w="2232"/>
            <w:vAlign w:val="center"/>
          </w:tcPr>
          <w:p>
            <w:pPr>
              <w:spacing w:after="0" w:line="264" w:lineRule="auto"/>
              <w:jc w:val="left"/>
            </w:pPr>
            <w:r>
              <w:rPr>
                <w:b w:val="0"/>
                <w:sz w:val="20"/>
              </w:rPr>
              <w:t>Re 1600，Ma 0.1</w:t>
            </w:r>
          </w:p>
        </w:tc>
        <w:tc>
          <w:tcPr>
            <w:tcW w:type="dxa" w:w="2736"/>
            <w:vAlign w:val="center"/>
          </w:tcPr>
          <w:p>
            <w:pPr>
              <w:spacing w:after="0" w:line="264" w:lineRule="auto"/>
              <w:jc w:val="left"/>
            </w:pPr>
            <w:r>
              <w:rPr>
                <w:b w:val="0"/>
                <w:sz w:val="20"/>
              </w:rPr>
              <w:t>转捩及动能耗散</w:t>
            </w:r>
          </w:p>
        </w:tc>
        <w:tc>
          <w:tcPr>
            <w:tcW w:type="dxa" w:w="2189"/>
            <w:vAlign w:val="center"/>
          </w:tcPr>
          <w:p>
            <w:pPr>
              <w:spacing w:after="0" w:line="264" w:lineRule="auto"/>
              <w:jc w:val="left"/>
            </w:pPr>
            <w:r>
              <w:rPr>
                <w:b w:val="0"/>
                <w:sz w:val="20"/>
              </w:rPr>
              <w:t>谱方法 DNS</w:t>
            </w:r>
          </w:p>
        </w:tc>
      </w:tr>
      <w:tr>
        <w:trPr>
          <w:cantSplit/>
        </w:trPr>
        <w:tc>
          <w:tcPr>
            <w:tcW w:type="dxa" w:w="691"/>
            <w:vAlign w:val="center"/>
          </w:tcPr>
          <w:p>
            <w:pPr>
              <w:spacing w:after="0" w:line="264" w:lineRule="auto"/>
              <w:jc w:val="center"/>
            </w:pPr>
            <w:r>
              <w:rPr>
                <w:b w:val="0"/>
                <w:sz w:val="20"/>
              </w:rPr>
              <w:t>C06</w:t>
            </w:r>
          </w:p>
        </w:tc>
        <w:tc>
          <w:tcPr>
            <w:tcW w:type="dxa" w:w="1800"/>
            <w:vAlign w:val="center"/>
          </w:tcPr>
          <w:p>
            <w:pPr>
              <w:spacing w:after="0" w:line="264" w:lineRule="auto"/>
              <w:jc w:val="left"/>
            </w:pPr>
            <w:r>
              <w:rPr>
                <w:b w:val="0"/>
                <w:sz w:val="20"/>
              </w:rPr>
              <w:t>衰减各向同性湍流</w:t>
            </w:r>
          </w:p>
        </w:tc>
        <w:tc>
          <w:tcPr>
            <w:tcW w:type="dxa" w:w="2232"/>
            <w:vAlign w:val="center"/>
          </w:tcPr>
          <w:p>
            <w:pPr>
              <w:spacing w:after="0" w:line="264" w:lineRule="auto"/>
              <w:jc w:val="left"/>
            </w:pPr>
            <w:r>
              <w:rPr>
                <w:b w:val="0"/>
                <w:sz w:val="20"/>
              </w:rPr>
              <w:t>CBC 5.08 cm 格栅</w:t>
            </w:r>
          </w:p>
        </w:tc>
        <w:tc>
          <w:tcPr>
            <w:tcW w:type="dxa" w:w="2736"/>
            <w:vAlign w:val="center"/>
          </w:tcPr>
          <w:p>
            <w:pPr>
              <w:spacing w:after="0" w:line="264" w:lineRule="auto"/>
              <w:jc w:val="left"/>
            </w:pPr>
            <w:r>
              <w:rPr>
                <w:b w:val="0"/>
                <w:sz w:val="20"/>
              </w:rPr>
              <w:t>能谱与衰减率</w:t>
            </w:r>
          </w:p>
        </w:tc>
        <w:tc>
          <w:tcPr>
            <w:tcW w:type="dxa" w:w="2189"/>
            <w:vAlign w:val="center"/>
          </w:tcPr>
          <w:p>
            <w:pPr>
              <w:spacing w:after="0" w:line="264" w:lineRule="auto"/>
              <w:jc w:val="left"/>
            </w:pPr>
            <w:r>
              <w:rPr>
                <w:b w:val="0"/>
                <w:sz w:val="20"/>
              </w:rPr>
              <w:t>实验</w:t>
            </w:r>
          </w:p>
        </w:tc>
      </w:tr>
      <w:tr>
        <w:trPr>
          <w:cantSplit/>
        </w:trPr>
        <w:tc>
          <w:tcPr>
            <w:tcW w:type="dxa" w:w="691"/>
            <w:vAlign w:val="center"/>
          </w:tcPr>
          <w:p>
            <w:pPr>
              <w:spacing w:after="0" w:line="264" w:lineRule="auto"/>
              <w:jc w:val="center"/>
            </w:pPr>
            <w:r>
              <w:rPr>
                <w:b w:val="0"/>
                <w:sz w:val="20"/>
              </w:rPr>
              <w:t>C07</w:t>
            </w:r>
          </w:p>
        </w:tc>
        <w:tc>
          <w:tcPr>
            <w:tcW w:type="dxa" w:w="1800"/>
            <w:vAlign w:val="center"/>
          </w:tcPr>
          <w:p>
            <w:pPr>
              <w:spacing w:after="0" w:line="264" w:lineRule="auto"/>
              <w:jc w:val="left"/>
            </w:pPr>
            <w:r>
              <w:rPr>
                <w:b w:val="0"/>
                <w:sz w:val="20"/>
              </w:rPr>
              <w:t>强迫各向同性湍流</w:t>
            </w:r>
          </w:p>
        </w:tc>
        <w:tc>
          <w:tcPr>
            <w:tcW w:type="dxa" w:w="2232"/>
            <w:vAlign w:val="center"/>
          </w:tcPr>
          <w:p>
            <w:pPr>
              <w:spacing w:after="0" w:line="264" w:lineRule="auto"/>
              <w:jc w:val="left"/>
            </w:pPr>
            <w:r>
              <w:rPr>
                <w:b w:val="0"/>
                <w:sz w:val="20"/>
              </w:rPr>
              <w:t>JHTDB 1024³</w:t>
            </w:r>
          </w:p>
        </w:tc>
        <w:tc>
          <w:tcPr>
            <w:tcW w:type="dxa" w:w="2736"/>
            <w:vAlign w:val="center"/>
          </w:tcPr>
          <w:p>
            <w:pPr>
              <w:spacing w:after="0" w:line="264" w:lineRule="auto"/>
              <w:jc w:val="left"/>
            </w:pPr>
            <w:r>
              <w:rPr>
                <w:b w:val="0"/>
                <w:sz w:val="20"/>
              </w:rPr>
              <w:t>稳态能量通量</w:t>
            </w:r>
          </w:p>
        </w:tc>
        <w:tc>
          <w:tcPr>
            <w:tcW w:type="dxa" w:w="2189"/>
            <w:vAlign w:val="center"/>
          </w:tcPr>
          <w:p>
            <w:pPr>
              <w:spacing w:after="0" w:line="264" w:lineRule="auto"/>
              <w:jc w:val="left"/>
            </w:pPr>
            <w:r>
              <w:rPr>
                <w:b w:val="0"/>
                <w:sz w:val="20"/>
              </w:rPr>
              <w:t>DNS</w:t>
            </w:r>
          </w:p>
        </w:tc>
      </w:tr>
      <w:tr>
        <w:trPr>
          <w:cantSplit/>
        </w:trPr>
        <w:tc>
          <w:tcPr>
            <w:tcW w:type="dxa" w:w="691"/>
            <w:vAlign w:val="center"/>
          </w:tcPr>
          <w:p>
            <w:pPr>
              <w:spacing w:after="0" w:line="264" w:lineRule="auto"/>
              <w:jc w:val="center"/>
            </w:pPr>
            <w:r>
              <w:rPr>
                <w:b w:val="0"/>
                <w:sz w:val="20"/>
              </w:rPr>
              <w:t>C08</w:t>
            </w:r>
          </w:p>
        </w:tc>
        <w:tc>
          <w:tcPr>
            <w:tcW w:type="dxa" w:w="1800"/>
            <w:vAlign w:val="center"/>
          </w:tcPr>
          <w:p>
            <w:pPr>
              <w:spacing w:after="0" w:line="264" w:lineRule="auto"/>
              <w:jc w:val="left"/>
            </w:pPr>
            <w:r>
              <w:rPr>
                <w:b w:val="0"/>
                <w:sz w:val="20"/>
              </w:rPr>
              <w:t>光滑圆管</w:t>
            </w:r>
          </w:p>
        </w:tc>
        <w:tc>
          <w:tcPr>
            <w:tcW w:type="dxa" w:w="2232"/>
            <w:vAlign w:val="center"/>
          </w:tcPr>
          <w:p>
            <w:pPr>
              <w:spacing w:after="0" w:line="264" w:lineRule="auto"/>
              <w:jc w:val="left"/>
            </w:pPr>
            <w:r>
              <w:rPr>
                <w:b w:val="0"/>
                <w:sz w:val="20"/>
              </w:rPr>
              <w:t>Reτ 180–5200 等</w:t>
            </w:r>
          </w:p>
        </w:tc>
        <w:tc>
          <w:tcPr>
            <w:tcW w:type="dxa" w:w="2736"/>
            <w:vAlign w:val="center"/>
          </w:tcPr>
          <w:p>
            <w:pPr>
              <w:spacing w:after="0" w:line="264" w:lineRule="auto"/>
              <w:jc w:val="left"/>
            </w:pPr>
            <w:r>
              <w:rPr>
                <w:b w:val="0"/>
                <w:sz w:val="20"/>
              </w:rPr>
              <w:t>曲率与摩擦系数</w:t>
            </w:r>
          </w:p>
        </w:tc>
        <w:tc>
          <w:tcPr>
            <w:tcW w:type="dxa" w:w="2189"/>
            <w:vAlign w:val="center"/>
          </w:tcPr>
          <w:p>
            <w:pPr>
              <w:spacing w:after="0" w:line="264" w:lineRule="auto"/>
              <w:jc w:val="left"/>
            </w:pPr>
            <w:r>
              <w:rPr>
                <w:b w:val="0"/>
                <w:sz w:val="20"/>
              </w:rPr>
              <w:t>DNS、实验</w:t>
            </w:r>
          </w:p>
        </w:tc>
      </w:tr>
      <w:tr>
        <w:trPr>
          <w:cantSplit/>
        </w:trPr>
        <w:tc>
          <w:tcPr>
            <w:tcW w:type="dxa" w:w="691"/>
            <w:vAlign w:val="center"/>
          </w:tcPr>
          <w:p>
            <w:pPr>
              <w:spacing w:after="0" w:line="264" w:lineRule="auto"/>
              <w:jc w:val="center"/>
            </w:pPr>
            <w:r>
              <w:rPr>
                <w:b w:val="0"/>
                <w:sz w:val="20"/>
              </w:rPr>
              <w:t>C09</w:t>
            </w:r>
          </w:p>
        </w:tc>
        <w:tc>
          <w:tcPr>
            <w:tcW w:type="dxa" w:w="1800"/>
            <w:vAlign w:val="center"/>
          </w:tcPr>
          <w:p>
            <w:pPr>
              <w:spacing w:after="0" w:line="264" w:lineRule="auto"/>
              <w:jc w:val="left"/>
            </w:pPr>
            <w:r>
              <w:rPr>
                <w:b w:val="0"/>
                <w:sz w:val="20"/>
              </w:rPr>
              <w:t>光滑方管</w:t>
            </w:r>
          </w:p>
        </w:tc>
        <w:tc>
          <w:tcPr>
            <w:tcW w:type="dxa" w:w="2232"/>
            <w:vAlign w:val="center"/>
          </w:tcPr>
          <w:p>
            <w:pPr>
              <w:spacing w:after="0" w:line="264" w:lineRule="auto"/>
              <w:jc w:val="left"/>
            </w:pPr>
            <w:r>
              <w:rPr>
                <w:b w:val="0"/>
                <w:sz w:val="20"/>
              </w:rPr>
              <w:t>Reτ 约 150–1055</w:t>
            </w:r>
          </w:p>
        </w:tc>
        <w:tc>
          <w:tcPr>
            <w:tcW w:type="dxa" w:w="2736"/>
            <w:vAlign w:val="center"/>
          </w:tcPr>
          <w:p>
            <w:pPr>
              <w:spacing w:after="0" w:line="264" w:lineRule="auto"/>
              <w:jc w:val="left"/>
            </w:pPr>
            <w:r>
              <w:rPr>
                <w:b w:val="0"/>
                <w:sz w:val="20"/>
              </w:rPr>
              <w:t>应力各向异性和二次流</w:t>
            </w:r>
          </w:p>
        </w:tc>
        <w:tc>
          <w:tcPr>
            <w:tcW w:type="dxa" w:w="2189"/>
            <w:vAlign w:val="center"/>
          </w:tcPr>
          <w:p>
            <w:pPr>
              <w:spacing w:after="0" w:line="264" w:lineRule="auto"/>
              <w:jc w:val="left"/>
            </w:pPr>
            <w:r>
              <w:rPr>
                <w:b w:val="0"/>
                <w:sz w:val="20"/>
              </w:rPr>
              <w:t>DNS</w:t>
            </w:r>
          </w:p>
        </w:tc>
      </w:tr>
      <w:tr>
        <w:trPr>
          <w:cantSplit/>
        </w:trPr>
        <w:tc>
          <w:tcPr>
            <w:tcW w:type="dxa" w:w="691"/>
            <w:vAlign w:val="center"/>
          </w:tcPr>
          <w:p>
            <w:pPr>
              <w:spacing w:after="0" w:line="264" w:lineRule="auto"/>
              <w:jc w:val="center"/>
            </w:pPr>
            <w:r>
              <w:rPr>
                <w:b w:val="0"/>
                <w:sz w:val="20"/>
              </w:rPr>
              <w:t>C10</w:t>
            </w:r>
          </w:p>
        </w:tc>
        <w:tc>
          <w:tcPr>
            <w:tcW w:type="dxa" w:w="1800"/>
            <w:vAlign w:val="center"/>
          </w:tcPr>
          <w:p>
            <w:pPr>
              <w:spacing w:after="0" w:line="264" w:lineRule="auto"/>
              <w:jc w:val="left"/>
            </w:pPr>
            <w:r>
              <w:rPr>
                <w:b w:val="0"/>
                <w:sz w:val="20"/>
              </w:rPr>
              <w:t>零压梯度边界层</w:t>
            </w:r>
          </w:p>
        </w:tc>
        <w:tc>
          <w:tcPr>
            <w:tcW w:type="dxa" w:w="2232"/>
            <w:vAlign w:val="center"/>
          </w:tcPr>
          <w:p>
            <w:pPr>
              <w:spacing w:after="0" w:line="264" w:lineRule="auto"/>
              <w:jc w:val="left"/>
            </w:pPr>
            <w:r>
              <w:rPr>
                <w:b w:val="0"/>
                <w:sz w:val="20"/>
              </w:rPr>
              <w:t>Reθ 约 670–4060</w:t>
            </w:r>
          </w:p>
        </w:tc>
        <w:tc>
          <w:tcPr>
            <w:tcW w:type="dxa" w:w="2736"/>
            <w:vAlign w:val="center"/>
          </w:tcPr>
          <w:p>
            <w:pPr>
              <w:spacing w:after="0" w:line="264" w:lineRule="auto"/>
              <w:jc w:val="left"/>
            </w:pPr>
            <w:r>
              <w:rPr>
                <w:b w:val="0"/>
                <w:sz w:val="20"/>
              </w:rPr>
              <w:t>入口发展与壁面输运</w:t>
            </w:r>
          </w:p>
        </w:tc>
        <w:tc>
          <w:tcPr>
            <w:tcW w:type="dxa" w:w="2189"/>
            <w:vAlign w:val="center"/>
          </w:tcPr>
          <w:p>
            <w:pPr>
              <w:spacing w:after="0" w:line="264" w:lineRule="auto"/>
              <w:jc w:val="left"/>
            </w:pPr>
            <w:r>
              <w:rPr>
                <w:b w:val="0"/>
                <w:sz w:val="20"/>
              </w:rPr>
              <w:t>DNS</w:t>
            </w:r>
          </w:p>
        </w:tc>
      </w:tr>
      <w:tr>
        <w:trPr>
          <w:cantSplit/>
        </w:trPr>
        <w:tc>
          <w:tcPr>
            <w:tcW w:type="dxa" w:w="691"/>
            <w:vAlign w:val="center"/>
          </w:tcPr>
          <w:p>
            <w:pPr>
              <w:spacing w:after="0" w:line="264" w:lineRule="auto"/>
              <w:jc w:val="center"/>
            </w:pPr>
            <w:r>
              <w:rPr>
                <w:b w:val="0"/>
                <w:sz w:val="20"/>
              </w:rPr>
              <w:t>C11</w:t>
            </w:r>
          </w:p>
        </w:tc>
        <w:tc>
          <w:tcPr>
            <w:tcW w:type="dxa" w:w="1800"/>
            <w:vAlign w:val="center"/>
          </w:tcPr>
          <w:p>
            <w:pPr>
              <w:spacing w:after="0" w:line="264" w:lineRule="auto"/>
              <w:jc w:val="left"/>
            </w:pPr>
            <w:r>
              <w:rPr>
                <w:b w:val="0"/>
                <w:sz w:val="20"/>
              </w:rPr>
              <w:t>逆压梯度边界层</w:t>
            </w:r>
          </w:p>
        </w:tc>
        <w:tc>
          <w:tcPr>
            <w:tcW w:type="dxa" w:w="2232"/>
            <w:vAlign w:val="center"/>
          </w:tcPr>
          <w:p>
            <w:pPr>
              <w:spacing w:after="0" w:line="264" w:lineRule="auto"/>
              <w:jc w:val="left"/>
            </w:pPr>
            <w:r>
              <w:rPr>
                <w:b w:val="0"/>
                <w:sz w:val="20"/>
              </w:rPr>
              <w:t>β 1 与约 39</w:t>
            </w:r>
          </w:p>
        </w:tc>
        <w:tc>
          <w:tcPr>
            <w:tcW w:type="dxa" w:w="2736"/>
            <w:vAlign w:val="center"/>
          </w:tcPr>
          <w:p>
            <w:pPr>
              <w:spacing w:after="0" w:line="264" w:lineRule="auto"/>
              <w:jc w:val="left"/>
            </w:pPr>
            <w:r>
              <w:rPr>
                <w:b w:val="0"/>
                <w:sz w:val="20"/>
              </w:rPr>
              <w:t>非平衡与压力历史</w:t>
            </w:r>
          </w:p>
        </w:tc>
        <w:tc>
          <w:tcPr>
            <w:tcW w:type="dxa" w:w="2189"/>
            <w:vAlign w:val="center"/>
          </w:tcPr>
          <w:p>
            <w:pPr>
              <w:spacing w:after="0" w:line="264" w:lineRule="auto"/>
              <w:jc w:val="left"/>
            </w:pPr>
            <w:r>
              <w:rPr>
                <w:b w:val="0"/>
                <w:sz w:val="20"/>
              </w:rPr>
              <w:t>DNS，补充 LES</w:t>
            </w:r>
          </w:p>
        </w:tc>
      </w:tr>
      <w:tr>
        <w:trPr>
          <w:cantSplit/>
        </w:trPr>
        <w:tc>
          <w:tcPr>
            <w:tcW w:type="dxa" w:w="691"/>
            <w:vAlign w:val="center"/>
          </w:tcPr>
          <w:p>
            <w:pPr>
              <w:spacing w:after="0" w:line="264" w:lineRule="auto"/>
              <w:jc w:val="center"/>
            </w:pPr>
            <w:r>
              <w:rPr>
                <w:b w:val="0"/>
                <w:sz w:val="20"/>
              </w:rPr>
              <w:t>C12</w:t>
            </w:r>
          </w:p>
        </w:tc>
        <w:tc>
          <w:tcPr>
            <w:tcW w:type="dxa" w:w="1800"/>
            <w:vAlign w:val="center"/>
          </w:tcPr>
          <w:p>
            <w:pPr>
              <w:spacing w:after="0" w:line="264" w:lineRule="auto"/>
              <w:jc w:val="left"/>
            </w:pPr>
            <w:r>
              <w:rPr>
                <w:b w:val="0"/>
                <w:sz w:val="20"/>
              </w:rPr>
              <w:t>可压缩平板边界层</w:t>
            </w:r>
          </w:p>
        </w:tc>
        <w:tc>
          <w:tcPr>
            <w:tcW w:type="dxa" w:w="2232"/>
            <w:vAlign w:val="center"/>
          </w:tcPr>
          <w:p>
            <w:pPr>
              <w:spacing w:after="0" w:line="264" w:lineRule="auto"/>
              <w:jc w:val="left"/>
            </w:pPr>
            <w:r>
              <w:rPr>
                <w:b w:val="0"/>
                <w:sz w:val="20"/>
              </w:rPr>
              <w:t>Ma 2–10，冷热壁</w:t>
            </w:r>
          </w:p>
        </w:tc>
        <w:tc>
          <w:tcPr>
            <w:tcW w:type="dxa" w:w="2736"/>
            <w:vAlign w:val="center"/>
          </w:tcPr>
          <w:p>
            <w:pPr>
              <w:spacing w:after="0" w:line="264" w:lineRule="auto"/>
              <w:jc w:val="left"/>
            </w:pPr>
            <w:r>
              <w:rPr>
                <w:b w:val="0"/>
                <w:sz w:val="20"/>
              </w:rPr>
              <w:t>密度加权与热通量</w:t>
            </w:r>
          </w:p>
        </w:tc>
        <w:tc>
          <w:tcPr>
            <w:tcW w:type="dxa" w:w="2189"/>
            <w:vAlign w:val="center"/>
          </w:tcPr>
          <w:p>
            <w:pPr>
              <w:spacing w:after="0" w:line="264" w:lineRule="auto"/>
              <w:jc w:val="left"/>
            </w:pPr>
            <w:r>
              <w:rPr>
                <w:b w:val="0"/>
                <w:sz w:val="20"/>
              </w:rPr>
              <w:t>DNS</w:t>
            </w:r>
          </w:p>
        </w:tc>
      </w:tr>
      <w:tr>
        <w:trPr>
          <w:cantSplit/>
        </w:trPr>
        <w:tc>
          <w:tcPr>
            <w:tcW w:type="dxa" w:w="691"/>
            <w:vAlign w:val="center"/>
          </w:tcPr>
          <w:p>
            <w:pPr>
              <w:spacing w:after="0" w:line="264" w:lineRule="auto"/>
              <w:jc w:val="center"/>
            </w:pPr>
            <w:r>
              <w:rPr>
                <w:b w:val="0"/>
                <w:sz w:val="20"/>
              </w:rPr>
              <w:t>C13</w:t>
            </w:r>
          </w:p>
        </w:tc>
        <w:tc>
          <w:tcPr>
            <w:tcW w:type="dxa" w:w="1800"/>
            <w:vAlign w:val="center"/>
          </w:tcPr>
          <w:p>
            <w:pPr>
              <w:spacing w:after="0" w:line="264" w:lineRule="auto"/>
              <w:jc w:val="left"/>
            </w:pPr>
            <w:r>
              <w:rPr>
                <w:b w:val="0"/>
                <w:sz w:val="20"/>
              </w:rPr>
              <w:t>平面混合层</w:t>
            </w:r>
          </w:p>
        </w:tc>
        <w:tc>
          <w:tcPr>
            <w:tcW w:type="dxa" w:w="2232"/>
            <w:vAlign w:val="center"/>
          </w:tcPr>
          <w:p>
            <w:pPr>
              <w:spacing w:after="0" w:line="264" w:lineRule="auto"/>
              <w:jc w:val="left"/>
            </w:pPr>
            <w:r>
              <w:rPr>
                <w:b w:val="0"/>
                <w:sz w:val="20"/>
              </w:rPr>
              <w:t>时间发展／空间发展</w:t>
            </w:r>
          </w:p>
        </w:tc>
        <w:tc>
          <w:tcPr>
            <w:tcW w:type="dxa" w:w="2736"/>
            <w:vAlign w:val="center"/>
          </w:tcPr>
          <w:p>
            <w:pPr>
              <w:spacing w:after="0" w:line="264" w:lineRule="auto"/>
              <w:jc w:val="left"/>
            </w:pPr>
            <w:r>
              <w:rPr>
                <w:b w:val="0"/>
                <w:sz w:val="20"/>
              </w:rPr>
              <w:t>卷吸与剪切层增长</w:t>
            </w:r>
          </w:p>
        </w:tc>
        <w:tc>
          <w:tcPr>
            <w:tcW w:type="dxa" w:w="2189"/>
            <w:vAlign w:val="center"/>
          </w:tcPr>
          <w:p>
            <w:pPr>
              <w:spacing w:after="0" w:line="264" w:lineRule="auto"/>
              <w:jc w:val="left"/>
            </w:pPr>
            <w:r>
              <w:rPr>
                <w:b w:val="0"/>
                <w:sz w:val="20"/>
              </w:rPr>
              <w:t>DNS、实验</w:t>
            </w:r>
          </w:p>
        </w:tc>
      </w:tr>
      <w:tr>
        <w:trPr>
          <w:cantSplit/>
        </w:trPr>
        <w:tc>
          <w:tcPr>
            <w:tcW w:type="dxa" w:w="691"/>
            <w:vAlign w:val="center"/>
          </w:tcPr>
          <w:p>
            <w:pPr>
              <w:spacing w:after="0" w:line="264" w:lineRule="auto"/>
              <w:jc w:val="center"/>
            </w:pPr>
            <w:r>
              <w:rPr>
                <w:b w:val="0"/>
                <w:sz w:val="20"/>
              </w:rPr>
              <w:t>C14</w:t>
            </w:r>
          </w:p>
        </w:tc>
        <w:tc>
          <w:tcPr>
            <w:tcW w:type="dxa" w:w="1800"/>
            <w:vAlign w:val="center"/>
          </w:tcPr>
          <w:p>
            <w:pPr>
              <w:spacing w:after="0" w:line="264" w:lineRule="auto"/>
              <w:jc w:val="left"/>
            </w:pPr>
            <w:r>
              <w:rPr>
                <w:b w:val="0"/>
                <w:sz w:val="20"/>
              </w:rPr>
              <w:t>圆射流</w:t>
            </w:r>
          </w:p>
        </w:tc>
        <w:tc>
          <w:tcPr>
            <w:tcW w:type="dxa" w:w="2232"/>
            <w:vAlign w:val="center"/>
          </w:tcPr>
          <w:p>
            <w:pPr>
              <w:spacing w:after="0" w:line="264" w:lineRule="auto"/>
              <w:jc w:val="left"/>
            </w:pPr>
            <w:r>
              <w:rPr>
                <w:b w:val="0"/>
                <w:sz w:val="20"/>
              </w:rPr>
              <w:t>Ma 0.9，</w:t>
            </w:r>
            <w:r>
              <w:rPr>
                <w:b w:val="0"/>
                <w:sz w:val="20"/>
              </w:rPr>
              <w:t>Re</w:t>
            </w:r>
            <w:r>
              <w:rPr>
                <w:b w:val="0"/>
                <w:sz w:val="20"/>
                <w:vertAlign w:val="subscript"/>
              </w:rPr>
              <w:t>D</w:t>
            </w:r>
            <w:r>
              <w:rPr>
                <w:b w:val="0"/>
                <w:sz w:val="20"/>
              </w:rPr>
              <w:t xml:space="preserve"> 10⁶</w:t>
            </w:r>
          </w:p>
        </w:tc>
        <w:tc>
          <w:tcPr>
            <w:tcW w:type="dxa" w:w="2736"/>
            <w:vAlign w:val="center"/>
          </w:tcPr>
          <w:p>
            <w:pPr>
              <w:spacing w:after="0" w:line="264" w:lineRule="auto"/>
              <w:jc w:val="left"/>
            </w:pPr>
            <w:r>
              <w:rPr>
                <w:b w:val="0"/>
                <w:sz w:val="20"/>
              </w:rPr>
              <w:t>入口状态、混合与噪声</w:t>
            </w:r>
          </w:p>
        </w:tc>
        <w:tc>
          <w:tcPr>
            <w:tcW w:type="dxa" w:w="2189"/>
            <w:vAlign w:val="center"/>
          </w:tcPr>
          <w:p>
            <w:pPr>
              <w:spacing w:after="0" w:line="264" w:lineRule="auto"/>
              <w:jc w:val="left"/>
            </w:pPr>
            <w:r>
              <w:rPr>
                <w:b w:val="0"/>
                <w:sz w:val="20"/>
              </w:rPr>
              <w:t>实验，补充 LES</w:t>
            </w:r>
          </w:p>
        </w:tc>
      </w:tr>
      <w:tr>
        <w:trPr>
          <w:cantSplit/>
        </w:trPr>
        <w:tc>
          <w:tcPr>
            <w:tcW w:type="dxa" w:w="691"/>
            <w:vAlign w:val="center"/>
          </w:tcPr>
          <w:p>
            <w:pPr>
              <w:spacing w:after="0" w:line="264" w:lineRule="auto"/>
              <w:jc w:val="center"/>
            </w:pPr>
            <w:r>
              <w:rPr>
                <w:b w:val="0"/>
                <w:sz w:val="20"/>
              </w:rPr>
              <w:t>C15</w:t>
            </w:r>
          </w:p>
        </w:tc>
        <w:tc>
          <w:tcPr>
            <w:tcW w:type="dxa" w:w="1800"/>
            <w:vAlign w:val="center"/>
          </w:tcPr>
          <w:p>
            <w:pPr>
              <w:spacing w:after="0" w:line="264" w:lineRule="auto"/>
              <w:jc w:val="left"/>
            </w:pPr>
            <w:r>
              <w:rPr>
                <w:b w:val="0"/>
                <w:sz w:val="20"/>
              </w:rPr>
              <w:t>后台阶</w:t>
            </w:r>
          </w:p>
        </w:tc>
        <w:tc>
          <w:tcPr>
            <w:tcW w:type="dxa" w:w="2232"/>
            <w:vAlign w:val="center"/>
          </w:tcPr>
          <w:p>
            <w:pPr>
              <w:spacing w:after="0" w:line="264" w:lineRule="auto"/>
              <w:jc w:val="left"/>
            </w:pPr>
            <w:r>
              <w:rPr>
                <w:b w:val="0"/>
                <w:sz w:val="20"/>
              </w:rPr>
              <w:t>Reₕ 5100／约 36000</w:t>
            </w:r>
          </w:p>
        </w:tc>
        <w:tc>
          <w:tcPr>
            <w:tcW w:type="dxa" w:w="2736"/>
            <w:vAlign w:val="center"/>
          </w:tcPr>
          <w:p>
            <w:pPr>
              <w:spacing w:after="0" w:line="264" w:lineRule="auto"/>
              <w:jc w:val="left"/>
            </w:pPr>
            <w:r>
              <w:rPr>
                <w:b w:val="0"/>
                <w:sz w:val="20"/>
              </w:rPr>
              <w:t>固定分离与恢复</w:t>
            </w:r>
          </w:p>
        </w:tc>
        <w:tc>
          <w:tcPr>
            <w:tcW w:type="dxa" w:w="2189"/>
            <w:vAlign w:val="center"/>
          </w:tcPr>
          <w:p>
            <w:pPr>
              <w:spacing w:after="0" w:line="264" w:lineRule="auto"/>
              <w:jc w:val="left"/>
            </w:pPr>
            <w:r>
              <w:rPr>
                <w:b w:val="0"/>
                <w:sz w:val="20"/>
              </w:rPr>
              <w:t>DNS／实验</w:t>
            </w:r>
          </w:p>
        </w:tc>
      </w:tr>
      <w:tr>
        <w:trPr>
          <w:cantSplit/>
        </w:trPr>
        <w:tc>
          <w:tcPr>
            <w:tcW w:type="dxa" w:w="691"/>
            <w:vAlign w:val="center"/>
          </w:tcPr>
          <w:p>
            <w:pPr>
              <w:spacing w:after="0" w:line="264" w:lineRule="auto"/>
              <w:jc w:val="center"/>
            </w:pPr>
            <w:r>
              <w:rPr>
                <w:b w:val="0"/>
                <w:sz w:val="20"/>
              </w:rPr>
              <w:t>C16</w:t>
            </w:r>
          </w:p>
        </w:tc>
        <w:tc>
          <w:tcPr>
            <w:tcW w:type="dxa" w:w="1800"/>
            <w:vAlign w:val="center"/>
          </w:tcPr>
          <w:p>
            <w:pPr>
              <w:spacing w:after="0" w:line="264" w:lineRule="auto"/>
              <w:jc w:val="left"/>
            </w:pPr>
            <w:r>
              <w:rPr>
                <w:b w:val="0"/>
                <w:sz w:val="20"/>
              </w:rPr>
              <w:t>NASA 壁面隆起</w:t>
            </w:r>
          </w:p>
        </w:tc>
        <w:tc>
          <w:tcPr>
            <w:tcW w:type="dxa" w:w="2232"/>
            <w:vAlign w:val="center"/>
          </w:tcPr>
          <w:p>
            <w:pPr>
              <w:spacing w:after="0" w:line="264" w:lineRule="auto"/>
              <w:jc w:val="left"/>
            </w:pPr>
            <w:r>
              <w:rPr>
                <w:b w:val="0"/>
                <w:sz w:val="20"/>
              </w:rPr>
              <w:t>Re</w:t>
            </w:r>
            <w:r>
              <w:rPr>
                <w:b w:val="0"/>
                <w:sz w:val="20"/>
                <w:vertAlign w:val="subscript"/>
              </w:rPr>
              <w:t>c</w:t>
            </w:r>
            <w:r>
              <w:rPr>
                <w:b w:val="0"/>
                <w:sz w:val="20"/>
              </w:rPr>
              <w:t xml:space="preserve"> 约 9.3×10⁵</w:t>
            </w:r>
          </w:p>
        </w:tc>
        <w:tc>
          <w:tcPr>
            <w:tcW w:type="dxa" w:w="2736"/>
            <w:vAlign w:val="center"/>
          </w:tcPr>
          <w:p>
            <w:pPr>
              <w:spacing w:after="0" w:line="264" w:lineRule="auto"/>
              <w:jc w:val="left"/>
            </w:pPr>
            <w:r>
              <w:rPr>
                <w:b w:val="0"/>
                <w:sz w:val="20"/>
              </w:rPr>
              <w:t>光滑表面分离</w:t>
            </w:r>
          </w:p>
        </w:tc>
        <w:tc>
          <w:tcPr>
            <w:tcW w:type="dxa" w:w="2189"/>
            <w:vAlign w:val="center"/>
          </w:tcPr>
          <w:p>
            <w:pPr>
              <w:spacing w:after="0" w:line="264" w:lineRule="auto"/>
              <w:jc w:val="left"/>
            </w:pPr>
            <w:r>
              <w:rPr>
                <w:b w:val="0"/>
                <w:sz w:val="20"/>
              </w:rPr>
              <w:t>实验</w:t>
            </w:r>
          </w:p>
        </w:tc>
      </w:tr>
      <w:tr>
        <w:trPr>
          <w:cantSplit/>
        </w:trPr>
        <w:tc>
          <w:tcPr>
            <w:tcW w:type="dxa" w:w="691"/>
            <w:vAlign w:val="center"/>
          </w:tcPr>
          <w:p>
            <w:pPr>
              <w:spacing w:after="0" w:line="264" w:lineRule="auto"/>
              <w:jc w:val="center"/>
            </w:pPr>
            <w:r>
              <w:rPr>
                <w:b w:val="0"/>
                <w:sz w:val="20"/>
              </w:rPr>
              <w:t>C17</w:t>
            </w:r>
          </w:p>
        </w:tc>
        <w:tc>
          <w:tcPr>
            <w:tcW w:type="dxa" w:w="1800"/>
            <w:vAlign w:val="center"/>
          </w:tcPr>
          <w:p>
            <w:pPr>
              <w:spacing w:after="0" w:line="264" w:lineRule="auto"/>
              <w:jc w:val="left"/>
            </w:pPr>
            <w:r>
              <w:rPr>
                <w:b w:val="0"/>
                <w:sz w:val="20"/>
              </w:rPr>
              <w:t>圆柱尾流</w:t>
            </w:r>
          </w:p>
        </w:tc>
        <w:tc>
          <w:tcPr>
            <w:tcW w:type="dxa" w:w="2232"/>
            <w:vAlign w:val="center"/>
          </w:tcPr>
          <w:p>
            <w:pPr>
              <w:spacing w:after="0" w:line="264" w:lineRule="auto"/>
              <w:jc w:val="left"/>
            </w:pPr>
            <w:r>
              <w:rPr>
                <w:b w:val="0"/>
                <w:sz w:val="20"/>
              </w:rPr>
              <w:t>Re</w:t>
            </w:r>
            <w:r>
              <w:rPr>
                <w:b w:val="0"/>
                <w:sz w:val="20"/>
                <w:vertAlign w:val="subscript"/>
              </w:rPr>
              <w:t>D</w:t>
            </w:r>
            <w:r>
              <w:rPr>
                <w:b w:val="0"/>
                <w:sz w:val="20"/>
              </w:rPr>
              <w:t xml:space="preserve"> 3900</w:t>
            </w:r>
          </w:p>
        </w:tc>
        <w:tc>
          <w:tcPr>
            <w:tcW w:type="dxa" w:w="2736"/>
            <w:vAlign w:val="center"/>
          </w:tcPr>
          <w:p>
            <w:pPr>
              <w:spacing w:after="0" w:line="264" w:lineRule="auto"/>
              <w:jc w:val="left"/>
            </w:pPr>
            <w:r>
              <w:rPr>
                <w:b w:val="0"/>
                <w:sz w:val="20"/>
              </w:rPr>
              <w:t>脱涡、转捩与尾迹</w:t>
            </w:r>
          </w:p>
        </w:tc>
        <w:tc>
          <w:tcPr>
            <w:tcW w:type="dxa" w:w="2189"/>
            <w:vAlign w:val="center"/>
          </w:tcPr>
          <w:p>
            <w:pPr>
              <w:spacing w:after="0" w:line="264" w:lineRule="auto"/>
              <w:jc w:val="left"/>
            </w:pPr>
            <w:r>
              <w:rPr>
                <w:b w:val="0"/>
                <w:sz w:val="20"/>
              </w:rPr>
              <w:t>实验、DNS 文献</w:t>
            </w:r>
          </w:p>
        </w:tc>
      </w:tr>
      <w:tr>
        <w:trPr>
          <w:cantSplit/>
        </w:trPr>
        <w:tc>
          <w:tcPr>
            <w:tcW w:type="dxa" w:w="691"/>
            <w:vAlign w:val="center"/>
          </w:tcPr>
          <w:p>
            <w:pPr>
              <w:spacing w:after="0" w:line="264" w:lineRule="auto"/>
              <w:jc w:val="center"/>
            </w:pPr>
            <w:r>
              <w:rPr>
                <w:b w:val="0"/>
                <w:sz w:val="20"/>
              </w:rPr>
              <w:t>C18</w:t>
            </w:r>
          </w:p>
        </w:tc>
        <w:tc>
          <w:tcPr>
            <w:tcW w:type="dxa" w:w="1800"/>
            <w:vAlign w:val="center"/>
          </w:tcPr>
          <w:p>
            <w:pPr>
              <w:spacing w:after="0" w:line="264" w:lineRule="auto"/>
              <w:jc w:val="left"/>
            </w:pPr>
            <w:r>
              <w:rPr>
                <w:b w:val="0"/>
                <w:sz w:val="20"/>
              </w:rPr>
              <w:t>平面激波与各向同性湍流</w:t>
            </w:r>
          </w:p>
        </w:tc>
        <w:tc>
          <w:tcPr>
            <w:tcW w:type="dxa" w:w="2232"/>
            <w:vAlign w:val="center"/>
          </w:tcPr>
          <w:p>
            <w:pPr>
              <w:spacing w:after="0" w:line="264" w:lineRule="auto"/>
              <w:jc w:val="left"/>
            </w:pPr>
            <w:r>
              <w:rPr>
                <w:b w:val="0"/>
                <w:sz w:val="20"/>
              </w:rPr>
              <w:t>上游 Reλ 40 等</w:t>
            </w:r>
          </w:p>
        </w:tc>
        <w:tc>
          <w:tcPr>
            <w:tcW w:type="dxa" w:w="2736"/>
            <w:vAlign w:val="center"/>
          </w:tcPr>
          <w:p>
            <w:pPr>
              <w:spacing w:after="0" w:line="264" w:lineRule="auto"/>
              <w:jc w:val="left"/>
            </w:pPr>
            <w:r>
              <w:rPr>
                <w:b w:val="0"/>
                <w:sz w:val="20"/>
              </w:rPr>
              <w:t>激波后湍动能放大</w:t>
            </w:r>
          </w:p>
        </w:tc>
        <w:tc>
          <w:tcPr>
            <w:tcW w:type="dxa" w:w="2189"/>
            <w:vAlign w:val="center"/>
          </w:tcPr>
          <w:p>
            <w:pPr>
              <w:spacing w:after="0" w:line="264" w:lineRule="auto"/>
              <w:jc w:val="left"/>
            </w:pPr>
            <w:r>
              <w:rPr>
                <w:b w:val="0"/>
                <w:sz w:val="20"/>
              </w:rPr>
              <w:t>DNS</w:t>
            </w:r>
          </w:p>
        </w:tc>
      </w:tr>
      <w:tr>
        <w:trPr>
          <w:cantSplit/>
        </w:trPr>
        <w:tc>
          <w:tcPr>
            <w:tcW w:type="dxa" w:w="691"/>
            <w:vAlign w:val="center"/>
          </w:tcPr>
          <w:p>
            <w:pPr>
              <w:spacing w:after="0" w:line="264" w:lineRule="auto"/>
              <w:jc w:val="center"/>
            </w:pPr>
            <w:r>
              <w:rPr>
                <w:b w:val="0"/>
                <w:sz w:val="20"/>
              </w:rPr>
              <w:t>C19</w:t>
            </w:r>
          </w:p>
        </w:tc>
        <w:tc>
          <w:tcPr>
            <w:tcW w:type="dxa" w:w="1800"/>
            <w:vAlign w:val="center"/>
          </w:tcPr>
          <w:p>
            <w:pPr>
              <w:spacing w:after="0" w:line="264" w:lineRule="auto"/>
              <w:jc w:val="left"/>
            </w:pPr>
            <w:r>
              <w:rPr>
                <w:b w:val="0"/>
                <w:sz w:val="20"/>
              </w:rPr>
              <w:t>斜激波与平板边界层</w:t>
            </w:r>
          </w:p>
        </w:tc>
        <w:tc>
          <w:tcPr>
            <w:tcW w:type="dxa" w:w="2232"/>
            <w:vAlign w:val="center"/>
          </w:tcPr>
          <w:p>
            <w:pPr>
              <w:spacing w:after="0" w:line="264" w:lineRule="auto"/>
              <w:jc w:val="left"/>
            </w:pPr>
            <w:r>
              <w:rPr>
                <w:b w:val="0"/>
                <w:sz w:val="20"/>
              </w:rPr>
              <w:t>Ma 2.28，转角 8°</w:t>
            </w:r>
          </w:p>
        </w:tc>
        <w:tc>
          <w:tcPr>
            <w:tcW w:type="dxa" w:w="2736"/>
            <w:vAlign w:val="center"/>
          </w:tcPr>
          <w:p>
            <w:pPr>
              <w:spacing w:after="0" w:line="264" w:lineRule="auto"/>
              <w:jc w:val="left"/>
            </w:pPr>
            <w:r>
              <w:rPr>
                <w:b w:val="0"/>
                <w:sz w:val="20"/>
              </w:rPr>
              <w:t>激波低频与入口影响</w:t>
            </w:r>
          </w:p>
        </w:tc>
        <w:tc>
          <w:tcPr>
            <w:tcW w:type="dxa" w:w="2189"/>
            <w:vAlign w:val="center"/>
          </w:tcPr>
          <w:p>
            <w:pPr>
              <w:spacing w:after="0" w:line="264" w:lineRule="auto"/>
              <w:jc w:val="left"/>
            </w:pPr>
            <w:r>
              <w:rPr>
                <w:b w:val="0"/>
                <w:sz w:val="20"/>
              </w:rPr>
              <w:t>DNS、实验</w:t>
            </w:r>
          </w:p>
        </w:tc>
      </w:tr>
    </w:tbl>
    <w:p>
      <w:pPr>
        <w:spacing w:after="0"/>
      </w:pPr>
    </w:p>
    <w:p>
      <w:r>
        <w:rPr>
          <w:b w:val="0"/>
        </w:rPr>
        <w:t>TGV 是确定性初值触发的转捩基准，并非已经充分发展的统计稳态湍流。C03 和 C17 也同时检验转捩机制。将它们与成熟湍流槽道、强迫 HIT 和湍流边界层组合，才能避免仅在某一种失稳机制上得到好结果。</w:t>
      </w:r>
    </w:p>
    <w:p>
      <w:r>
        <w:rPr>
          <w:b w:val="0"/>
        </w:rPr>
        <w:t>对无壁面模型的粗网格 ILES，高雷诺数近壁流存在固有成本限制。缩减网格而保持无滑移边界，并不等于自动获得合理的壁面模型。应从有 DNS 的低至中等雷诺数开始；高雷诺数实验算例用来识别适用边界，不能仅凭平均压力吻合宣称壁面应力和热流可靠。</w:t>
      </w:r>
    </w:p>
    <w:p>
      <w:pPr>
        <w:pStyle w:val="Heading1"/>
        <w:pageBreakBefore/>
      </w:pPr>
      <w:r>
        <w:t>3 程序已实现的四类算例</w:t>
      </w:r>
    </w:p>
    <w:p>
      <w:pPr>
        <w:pStyle w:val="Heading2"/>
      </w:pPr>
      <w:r>
        <w:t>C01 平面槽道湍流</w:t>
      </w:r>
    </w:p>
    <w:p>
      <w:r>
        <w:rPr>
          <w:b/>
        </w:rPr>
        <w:t>背景与设置。</w:t>
      </w:r>
      <w:r>
        <w:rPr>
          <w:b w:val="0"/>
        </w:rPr>
        <w:t xml:space="preserve"> 压力驱动的双平板槽道把入口与几何复杂性移除，是研究近壁条带、准流向涡、摩擦阻力和 Reynolds 应力输运的标准问题。流向、展向周期，上下壁无滑移；必须区分恒压梯度和恒流量驱动。现有基线目标 Reτ=180，初始体积平均 Ma=0.1，计算域为 2πh×2h×πh，36×48×36 单元，壁面法向加密。这一较小周期盒与大盒 DNS 的能容尺度并不完全一致。</w:t>
      </w:r>
      <w:hyperlink r:id="rId11">
        <w:r>
          <w:rPr>
            <w:color w:val="205580"/>
            <w:rFonts w:eastAsia="宋体" w:ascii="Times New Roman" w:hAnsi="Times New Roman"/>
          </w:rPr>
          <w:t>本地配置与依据</w:t>
        </w:r>
      </w:hyperlink>
    </w:p>
    <w:p>
      <w:r>
        <w:rPr>
          <w:b/>
        </w:rPr>
        <w:t>参考结果。</w:t>
      </w:r>
      <w:r>
        <w:rPr>
          <w:b w:val="0"/>
        </w:rPr>
        <w:t xml:space="preserve"> 本地采用 ERCOFTAC Case 032 保存的 Kim–Moin–Moser 数据，标称 Reτ=180。由本地 simul1.dat 离散剖面积分得到 Uᵦ⁺≈15.5172，由此计算 Cf≈0.008306；这是离散表的派生值，不是原论文给出的无限精度常数。另行下载的 Lee–Moser 2015 文件 LM_Channel_0180_mean_prof.dat 实际 Reτ=182.088，ν=0.00035，Uᵦ=1，uτ=0.0637309；据文件头计算 Cf≈0.00812326。两组不能因文件名含“180”就混为同一参考。</w:t>
      </w:r>
      <w:hyperlink r:id="rId12">
        <w:r>
          <w:rPr>
            <w:color w:val="205580"/>
            <w:rFonts w:eastAsia="宋体" w:ascii="Times New Roman" w:hAnsi="Times New Roman"/>
          </w:rPr>
          <w:t>R01</w:t>
        </w:r>
      </w:hyperlink>
      <w:r>
        <w:rPr>
          <w:b w:val="0"/>
        </w:rPr>
        <w:t xml:space="preserve"> </w:t>
      </w:r>
      <w:hyperlink r:id="rId13">
        <w:r>
          <w:rPr>
            <w:color w:val="205580"/>
            <w:rFonts w:eastAsia="宋体" w:ascii="Times New Roman" w:hAnsi="Times New Roman"/>
          </w:rPr>
          <w:t>R02</w:t>
        </w:r>
      </w:hyperlink>
    </w:p>
    <w:p>
      <w:r>
        <w:rPr>
          <w:b/>
        </w:rPr>
        <w:t>测试量与意义。</w:t>
      </w:r>
      <w:r>
        <w:rPr>
          <w:b w:val="0"/>
        </w:rPr>
        <w:t xml:space="preserve"> 最少比较 U⁺、三分量脉动均方根、负 Reynolds 剪应力、Cf、实际 Reτ、上下壁对称性、流向及展向能谱。总剪应力应符合充分发展动量平衡，体力做功、黏性耗散及数值耗散应闭合。仅拟合对数律可能掩盖法向脉动不足和非物理大尺度能量堆积。对低马赫 WCNS，这是检查通量耗散是否压制湍流的直接算例。</w:t>
      </w:r>
    </w:p>
    <w:p>
      <w:r>
        <w:rPr>
          <w:b/>
        </w:rPr>
        <w:t>已有证据与进展。</w:t>
      </w:r>
      <w:r>
        <w:rPr>
          <w:b w:val="0"/>
        </w:rPr>
        <w:t xml:space="preserve"> 本地 final-campaign-report 记录了不同算法分支合计约 227 万推进步及 DNS 对比，并非只有短步测试；其版本号为早期 1.0.0／1.0.1。该记录不自动验证后续 v2.5 的所有路径。末段判稳表仍显示分支间摩擦和壁面对称性差异，适合继续用统一统计窗重评，而不宜只报单个末时刻。现代参考已经扩展至 Reτ≈5200，并提供统计标准误及应力预算；应优先使用这些误差信息，而非把所有偏差归为 ILES 模型误差。</w:t>
      </w:r>
      <w:hyperlink r:id="rId13">
        <w:r>
          <w:rPr>
            <w:color w:val="205580"/>
            <w:rFonts w:eastAsia="宋体" w:ascii="Times New Roman" w:hAnsi="Times New Roman"/>
          </w:rPr>
          <w:t>R02</w:t>
        </w:r>
      </w:hyperlink>
    </w:p>
    <w:p>
      <w:pPr>
        <w:pStyle w:val="Heading2"/>
      </w:pPr>
      <w:r>
        <w:t>C02 周期山流动</w:t>
      </w:r>
    </w:p>
    <w:p>
      <w:r>
        <w:rPr>
          <w:b/>
        </w:rPr>
        <w:t>背景与设置。</w:t>
      </w:r>
      <w:r>
        <w:rPr>
          <w:b w:val="0"/>
        </w:rPr>
        <w:t xml:space="preserve"> 平滑山丘诱导的分离剪切层、回流泡和再附使本算例比槽道更接近工程分离流，同时保持流向和展向周期，不需要人为合成入口湍流。现有 v2.4 配置依据用户论文第 5.3.4 节，Reₕ=1400、Maᵦ=0.1，域长高宽 9h×3.035h×4.5h，88×48×24=101376 单元，通过山顶截面流量反馈调整均匀驱动力。该三向网格分解、等温壁和 PI 参数是程序补充选择。</w:t>
      </w:r>
      <w:hyperlink r:id="rId14">
        <w:r>
          <w:rPr>
            <w:color w:val="205580"/>
            <w:rFonts w:eastAsia="宋体" w:ascii="Times New Roman" w:hAnsi="Times New Roman"/>
          </w:rPr>
          <w:t>本地实施依据</w:t>
        </w:r>
      </w:hyperlink>
    </w:p>
    <w:p>
      <w:r>
        <w:rPr>
          <w:b/>
        </w:rPr>
        <w:t>参考结果必须按雷诺数分开。</w:t>
      </w:r>
      <w:r>
        <w:rPr>
          <w:b w:val="0"/>
        </w:rPr>
        <w:t xml:space="preserve"> Fröhlich 等的 Reₕ=10595 常用数据是高分辨率 LES，公开平均剖面、应力和预算；再附位置约 xᵣ/h=4.6–4.7。NASA/TMR 的另一数据集是 Balakumar 的可压缩 DNS，Reₕ=2800、Ma=0.2，801×351×513 网格，分离约 xₛ/h=0.233、再附约 xᵣ/h=5.50。二者都不能直接用于当前 Reₕ=1400 的定量验收。Breuer 等 2009 给出跨雷诺数的实验及 DNS／LES 比较，可作为寻找同工况数据的主线；本次尚未获取与现有 Reₕ=1400 完全匹配的原始 DNS 数组。</w:t>
      </w:r>
      <w:hyperlink r:id="rId15">
        <w:r>
          <w:rPr>
            <w:color w:val="205580"/>
            <w:rFonts w:eastAsia="宋体" w:ascii="Times New Roman" w:hAnsi="Times New Roman"/>
          </w:rPr>
          <w:t>R03</w:t>
        </w:r>
      </w:hyperlink>
      <w:r>
        <w:rPr>
          <w:b w:val="0"/>
        </w:rPr>
        <w:t xml:space="preserve"> </w:t>
      </w:r>
      <w:hyperlink r:id="rId16">
        <w:r>
          <w:rPr>
            <w:color w:val="205580"/>
            <w:rFonts w:eastAsia="宋体" w:ascii="Times New Roman" w:hAnsi="Times New Roman"/>
          </w:rPr>
          <w:t>R04</w:t>
        </w:r>
      </w:hyperlink>
      <w:r>
        <w:rPr>
          <w:b w:val="0"/>
        </w:rPr>
        <w:t xml:space="preserve"> </w:t>
      </w:r>
      <w:hyperlink r:id="rId17">
        <w:r>
          <w:rPr>
            <w:color w:val="205580"/>
            <w:rFonts w:eastAsia="宋体" w:ascii="Times New Roman" w:hAnsi="Times New Roman"/>
          </w:rPr>
          <w:t>R05</w:t>
        </w:r>
      </w:hyperlink>
    </w:p>
    <w:p>
      <w:r>
        <w:rPr>
          <w:b/>
        </w:rPr>
        <w:t>测试量与意义。</w:t>
      </w:r>
      <w:r>
        <w:rPr>
          <w:b w:val="0"/>
        </w:rPr>
        <w:t xml:space="preserve"> 比较下壁有符号 Cf、Cp、分离和再附、回流强度、平均二维速度及全部六个应力分量；保留现有 x/h=0.05、2、4、8 的剖面，并按参考库补齐其他截面。流量控制误差和压力梯度历史也是必需输出。山后剪切层中应力增长过慢、再附过迟，可能源于入口处已周期循环的湍流过弱、网格分辨率不足或耗散过强，不能只通过加大驱动力修正。</w:t>
      </w:r>
    </w:p>
    <w:p>
      <w:r>
        <w:rPr>
          <w:b/>
        </w:rPr>
        <w:t>研究进展与结构网格建议。</w:t>
      </w:r>
      <w:r>
        <w:rPr>
          <w:b w:val="0"/>
        </w:rPr>
        <w:t xml:space="preserve"> 后续研究已经从单一山形扩展到几何参数变化和数据驱动闭合评估。对本程序，先在相同物理工况下做三向加密与展宽敏感性，再改变山形；曲率和块接口处的度量一致性会直接影响局部应力。现有算例可作为“无入口不确定性的分离流”主基准，但同工况原始数据仍是待补项。</w:t>
      </w:r>
    </w:p>
    <w:p>
      <w:pPr>
        <w:pStyle w:val="Heading2"/>
      </w:pPr>
      <w:r>
        <w:t>C03 SD7003 低雷诺数翼型</w:t>
      </w:r>
    </w:p>
    <w:p>
      <w:r>
        <w:rPr>
          <w:b/>
        </w:rPr>
        <w:t>背景与设置。</w:t>
      </w:r>
      <w:r>
        <w:rPr>
          <w:b w:val="0"/>
        </w:rPr>
        <w:t xml:space="preserve"> SD7003 上表面出现层流分离、剪切层失稳、三维转捩和再附，适合检验 ILES 能否自行产生合理转捩。现有配置为 </w:t>
      </w:r>
      <w:r>
        <w:rPr>
          <w:b w:val="0"/>
        </w:rPr>
        <w:t>Re</w:t>
      </w:r>
      <w:r>
        <w:rPr>
          <w:b w:val="0"/>
          <w:vertAlign w:val="subscript"/>
        </w:rPr>
        <w:t>c</w:t>
      </w:r>
      <w:r>
        <w:rPr>
          <w:b w:val="0"/>
        </w:rPr>
        <w:t>=60000、Ma=0.2、α=4°、展宽 0.2c、远场约 30c、绝热无滑移壁，8 块结构网格共 1720320 单元。参考 UIUC 坐标，但尾缘圆钝化和节点分布为工程重建。高阶工作坊的相关工况 Ma=0.1，应与本程序 Ma=0.2 区分。</w:t>
      </w:r>
      <w:hyperlink r:id="rId18">
        <w:r>
          <w:rPr>
            <w:color w:val="205580"/>
            <w:rFonts w:eastAsia="宋体" w:ascii="Times New Roman" w:hAnsi="Times New Roman"/>
          </w:rPr>
          <w:t>本地资料</w:t>
        </w:r>
      </w:hyperlink>
      <w:r>
        <w:rPr>
          <w:b w:val="0"/>
        </w:rPr>
        <w:t xml:space="preserve"> </w:t>
      </w:r>
      <w:hyperlink r:id="rId19">
        <w:r>
          <w:rPr>
            <w:color w:val="205580"/>
            <w:rFonts w:eastAsia="宋体" w:ascii="Times New Roman" w:hAnsi="Times New Roman"/>
          </w:rPr>
          <w:t>R06</w:t>
        </w:r>
      </w:hyperlink>
    </w:p>
    <w:p>
      <w:r>
        <w:rPr>
          <w:b/>
        </w:rPr>
        <w:t>可核验参考结果。</w:t>
      </w:r>
      <w:r>
        <w:rPr>
          <w:b w:val="0"/>
        </w:rPr>
        <w:t xml:space="preserve"> Galbraith–Visbal 2010 是 ILES 文献，不是 DNS。其零来流湍流度表值为 xₛ/c=0.23、xₜ/c=0.55、xᵣ/c=0.65，最大泡高约 0.030c。用户文档列出的 IAR 实验为 0.33／0.57／0.63，TU-BS 为 0.30／0.53／0.62，AFRL 为 0.18／0.47／0.58。不同风洞的湍流度和设施影响明显，不能将这些点拼成同一条“精确”曲线。TU-BS 在原论文中 Tu=0.08%，用户文档约写为 0.1%。</w:t>
      </w:r>
      <w:hyperlink r:id="rId20">
        <w:r>
          <w:rPr>
            <w:color w:val="205580"/>
            <w:rFonts w:eastAsia="宋体" w:ascii="Times New Roman" w:hAnsi="Times New Roman"/>
          </w:rPr>
          <w:t>R07</w:t>
        </w:r>
      </w:hyperlink>
    </w:p>
    <w:p>
      <w:r>
        <w:rPr>
          <w:b/>
        </w:rPr>
        <w:t>测试量与意义。</w:t>
      </w:r>
      <w:r>
        <w:rPr>
          <w:b w:val="0"/>
        </w:rPr>
        <w:t xml:space="preserve"> 比较上、下表面 Cp，上表面 Cf，分离／转捩／再附位置，泡高，升阻力及俯仰力矩均值和 RMS，x/c=0.1、0.5、0.95 的速度与应力，剪切层速度频谱和展向相关长度。转捩位置需要固定识别标准，不能把 Cf 零点当成转捩点。过量数值耗散会延迟三维失稳，过大的入口噪声会提前转捩，两者有可能在升力上相互抵消。</w:t>
      </w:r>
    </w:p>
    <w:p>
      <w:r>
        <w:rPr>
          <w:b/>
        </w:rPr>
        <w:t>数据限制与后续研究。</w:t>
      </w:r>
      <w:r>
        <w:rPr>
          <w:b w:val="0"/>
        </w:rPr>
        <w:t xml:space="preserve"> 已有参考包含论文表值及带像素误差的曲线数字化，不含完整原始实验时序。应以实验检验可信范围，以文献 ILES 检查同类方法差异。后续重点是来流湍流度、展宽、尾缘形状及扰动可重复性，不宜仅增加总网格数。v2.5 短算测得尾缘小尺度使显式时间步极小，生产效率与物理统计都尚需目标服务器评估；本报告未新做长算。</w:t>
      </w:r>
    </w:p>
    <w:p>
      <w:pPr>
        <w:pStyle w:val="Heading2"/>
      </w:pPr>
      <w:r>
        <w:t>C04 超声速压缩拐角</w:t>
      </w:r>
    </w:p>
    <w:p>
      <w:r>
        <w:rPr>
          <w:b/>
        </w:rPr>
        <w:t>背景与设置。</w:t>
      </w:r>
      <w:r>
        <w:rPr>
          <w:b w:val="0"/>
        </w:rPr>
        <w:t xml:space="preserve"> 24° 拐角迫使来流压缩，形成激波诱导分离、压力平台、再附及局部热流峰。现有配置沿用用户文档：Ma=2.25、Reδ₀=15800、δ₀=0.0006096 m、T∞=170 K、Tw=323 K，拐点 x/δ₀=100、展宽 6δ₀。层流相似入口经体力扰动触发转捩；12 块结构网格共 8847360 单元。体力幅值和波形为程序补充设置，必须先验证拐角前湍流状态。</w:t>
      </w:r>
      <w:hyperlink r:id="rId18">
        <w:r>
          <w:rPr>
            <w:color w:val="205580"/>
            <w:rFonts w:eastAsia="宋体" w:ascii="Times New Roman" w:hAnsi="Times New Roman"/>
          </w:rPr>
          <w:t>本地资料</w:t>
        </w:r>
      </w:hyperlink>
    </w:p>
    <w:p>
      <w:r>
        <w:rPr>
          <w:b/>
        </w:rPr>
        <w:t>参考结果及边界。</w:t>
      </w:r>
      <w:r>
        <w:rPr>
          <w:b w:val="0"/>
        </w:rPr>
        <w:t xml:space="preserve"> Porter–Poggie 2019 及作者算例页区分约 30 亿单元高分辨率计算与约 4000 万单元长时间计算，后者适合研究低频，不能把二者视作同一数据序列。前期 2017 文献的展宽为 10δ₀，与现有 6δ₀ 不同。已有论文图数字化大致给出 xₛ/δ₀≈88、xᵣ/δ₀≈107，仅适合趋势核对。精确热流、压力 RMS、全部 Favre 应力和长时间谱数组本次仍未取得。</w:t>
      </w:r>
      <w:hyperlink r:id="rId21">
        <w:r>
          <w:rPr>
            <w:color w:val="205580"/>
            <w:rFonts w:eastAsia="宋体" w:ascii="Times New Roman" w:hAnsi="Times New Roman"/>
          </w:rPr>
          <w:t>R08</w:t>
        </w:r>
      </w:hyperlink>
      <w:r>
        <w:rPr>
          <w:b w:val="0"/>
        </w:rPr>
        <w:t xml:space="preserve"> </w:t>
      </w:r>
      <w:hyperlink r:id="rId22">
        <w:r>
          <w:rPr>
            <w:color w:val="205580"/>
            <w:rFonts w:eastAsia="宋体" w:ascii="Times New Roman" w:hAnsi="Times New Roman"/>
          </w:rPr>
          <w:t>R09</w:t>
        </w:r>
      </w:hyperlink>
    </w:p>
    <w:p>
      <w:r>
        <w:rPr>
          <w:b/>
        </w:rPr>
        <w:t>测试量与意义。</w:t>
      </w:r>
      <w:r>
        <w:rPr>
          <w:b w:val="0"/>
        </w:rPr>
        <w:t xml:space="preserve"> 入口首先检查 x/δ₀=70 附近的实际壁面单位及 x/δ₀=80 的变换速度、厚度、形状因子和应力。交互区比较有符号壁面切向 Cf、流向分量 Cfx、Cp、热流／Stanton 数、压力和温度 RMS、分离面积、激波足位置 PDF 与功率谱，以及壁面压力的两点相关和相干性。倾斜壁面上的 Cf 与 Cfx 不等价。</w:t>
      </w:r>
    </w:p>
    <w:p>
      <w:r>
        <w:rPr>
          <w:b/>
        </w:rPr>
        <w:t>研究进展与应用判断。</w:t>
      </w:r>
      <w:r>
        <w:rPr>
          <w:b w:val="0"/>
        </w:rPr>
        <w:t xml:space="preserve"> 研究重心已从平均分离长度扩展到低频运动的上游／下游联系、间歇性和热边界影响。对 ILES，这同时检验低耗散湍流推进和局部激波稳定化；只看激波没有振荡远远不够。应记录传感器、限幅及降阶触发区域，检查其是否大范围侵入湍流边界层。该例属于后期综合验证，宜先通过 C12、C18 和 C19 的单独检查。</w:t>
      </w:r>
    </w:p>
    <w:p>
      <w:pPr>
        <w:pStyle w:val="Heading1"/>
      </w:pPr>
      <w:r>
        <w:t>4 自由湍流与数值耗散基准</w:t>
      </w:r>
    </w:p>
    <w:p>
      <w:pPr>
        <w:pStyle w:val="Heading2"/>
      </w:pPr>
      <w:r>
        <w:t>C05 Taylor–Green 涡</w:t>
      </w:r>
    </w:p>
    <w:p>
      <w:r>
        <w:rPr>
          <w:b/>
        </w:rPr>
        <w:t>背景与配置。</w:t>
      </w:r>
      <w:r>
        <w:rPr>
          <w:b w:val="0"/>
        </w:rPr>
        <w:t xml:space="preserve"> 三维大尺度涡经拉伸产生细尺度，随后衰减；初值确定、三方向周期，适合区分离散格式的耗散与色散。高阶工作坊 C3.5 指定 Re=1600、立方域 [−πL,πL]³；可压缩分支为 Ma=0.1、γ=1.4、Pr=0.71、常物性。初速度采用标准正弦余弦 TGV 场，压力采用对应空间扰动。特别要注意原配置要求初始温度均匀、密度随压力变化，不能同时另设密度均匀而仍声称完全同一初场。时间范围为 tU₀/L=0–20。</w:t>
      </w:r>
      <w:hyperlink r:id="rId23">
        <w:r>
          <w:rPr>
            <w:color w:val="205580"/>
            <w:rFonts w:eastAsia="宋体" w:ascii="Times New Roman" w:hAnsi="Times New Roman"/>
          </w:rPr>
          <w:t>R10</w:t>
        </w:r>
      </w:hyperlink>
    </w:p>
    <w:p>
      <w:r>
        <w:rPr>
          <w:b/>
        </w:rPr>
        <w:t>实际参考数组。</w:t>
      </w:r>
      <w:r>
        <w:rPr>
          <w:b w:val="0"/>
        </w:rPr>
        <w:t xml:space="preserve"> 本次取得工作坊 data.tgz 中 spectral_Re1600_512.gdiag，文件明确标为 512³ 谱方法结果。以下为原数组的四舍五入显示，K 以 U₀² 归一化，耗散 ε 以 U₀³/L 归一化，涡量平方积分量 Ω 为半个体积平均涡量平方。原数据每 0.01 输出，最后记录在 19.99；不将它改写成 t=20。</w:t>
      </w:r>
      <w:hyperlink r:id="rId24">
        <w:r>
          <w:rPr>
            <w:color w:val="205580"/>
            <w:rFonts w:eastAsia="宋体" w:ascii="Times New Roman" w:hAnsi="Times New Roman"/>
          </w:rPr>
          <w:t>R11</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44"/>
        <w:gridCol w:w="2592"/>
        <w:gridCol w:w="2592"/>
        <w:gridCol w:w="2520"/>
      </w:tblGrid>
      <w:tr>
        <w:trPr>
          <w:cantSplit/>
          <w:tblHeader/>
        </w:trPr>
        <w:tc>
          <w:tcPr>
            <w:tcW w:type="dxa" w:w="1944"/>
            <w:vAlign w:val="center"/>
            <w:shd w:fill="DEE7EF"/>
          </w:tcPr>
          <w:p>
            <w:pPr>
              <w:spacing w:after="0" w:line="264" w:lineRule="auto"/>
              <w:jc w:val="center"/>
            </w:pPr>
            <w:r>
              <w:rPr>
                <w:b/>
                <w:sz w:val="20"/>
              </w:rPr>
              <w:t>无量纲时间</w:t>
            </w:r>
          </w:p>
        </w:tc>
        <w:tc>
          <w:tcPr>
            <w:tcW w:type="dxa" w:w="2592"/>
            <w:vAlign w:val="center"/>
            <w:shd w:fill="DEE7EF"/>
          </w:tcPr>
          <w:p>
            <w:pPr>
              <w:spacing w:after="0" w:line="264" w:lineRule="auto"/>
              <w:jc w:val="center"/>
            </w:pPr>
            <w:r>
              <w:rPr>
                <w:b/>
                <w:sz w:val="20"/>
              </w:rPr>
              <w:t>K</w:t>
            </w:r>
          </w:p>
        </w:tc>
        <w:tc>
          <w:tcPr>
            <w:tcW w:type="dxa" w:w="2592"/>
            <w:vAlign w:val="center"/>
            <w:shd w:fill="DEE7EF"/>
          </w:tcPr>
          <w:p>
            <w:pPr>
              <w:spacing w:after="0" w:line="264" w:lineRule="auto"/>
              <w:jc w:val="center"/>
            </w:pPr>
            <w:r>
              <w:rPr>
                <w:b/>
                <w:sz w:val="20"/>
              </w:rPr>
              <w:t>ε</w:t>
            </w:r>
          </w:p>
        </w:tc>
        <w:tc>
          <w:tcPr>
            <w:tcW w:type="dxa" w:w="2520"/>
            <w:vAlign w:val="center"/>
            <w:shd w:fill="DEE7EF"/>
          </w:tcPr>
          <w:p>
            <w:pPr>
              <w:spacing w:after="0" w:line="264" w:lineRule="auto"/>
              <w:jc w:val="center"/>
            </w:pPr>
            <w:r>
              <w:rPr>
                <w:b/>
                <w:sz w:val="20"/>
              </w:rPr>
              <w:t>Ω</w:t>
            </w:r>
          </w:p>
        </w:tc>
      </w:tr>
      <w:tr>
        <w:trPr>
          <w:cantSplit/>
        </w:trPr>
        <w:tc>
          <w:tcPr>
            <w:tcW w:type="dxa" w:w="1944"/>
            <w:vAlign w:val="center"/>
          </w:tcPr>
          <w:p>
            <w:pPr>
              <w:spacing w:after="0" w:line="264" w:lineRule="auto"/>
              <w:jc w:val="center"/>
            </w:pPr>
            <w:r>
              <w:rPr>
                <w:b w:val="0"/>
                <w:sz w:val="20"/>
              </w:rPr>
              <w:t>0</w:t>
            </w:r>
          </w:p>
        </w:tc>
        <w:tc>
          <w:tcPr>
            <w:tcW w:type="dxa" w:w="2592"/>
            <w:vAlign w:val="center"/>
          </w:tcPr>
          <w:p>
            <w:pPr>
              <w:spacing w:after="0" w:line="264" w:lineRule="auto"/>
              <w:jc w:val="center"/>
            </w:pPr>
            <w:r>
              <w:rPr>
                <w:b w:val="0"/>
                <w:sz w:val="20"/>
              </w:rPr>
              <w:t>0.12500000</w:t>
            </w:r>
          </w:p>
        </w:tc>
        <w:tc>
          <w:tcPr>
            <w:tcW w:type="dxa" w:w="2592"/>
            <w:vAlign w:val="center"/>
          </w:tcPr>
          <w:p>
            <w:pPr>
              <w:spacing w:after="0" w:line="264" w:lineRule="auto"/>
              <w:jc w:val="center"/>
            </w:pPr>
            <w:r>
              <w:rPr>
                <w:b w:val="0"/>
                <w:sz w:val="20"/>
              </w:rPr>
              <w:t>0.000468743</w:t>
            </w:r>
          </w:p>
        </w:tc>
        <w:tc>
          <w:tcPr>
            <w:tcW w:type="dxa" w:w="2520"/>
            <w:vAlign w:val="center"/>
          </w:tcPr>
          <w:p>
            <w:pPr>
              <w:spacing w:after="0" w:line="264" w:lineRule="auto"/>
              <w:jc w:val="center"/>
            </w:pPr>
            <w:r>
              <w:rPr>
                <w:b w:val="0"/>
                <w:sz w:val="20"/>
              </w:rPr>
              <w:t>0.375000</w:t>
            </w:r>
          </w:p>
        </w:tc>
      </w:tr>
      <w:tr>
        <w:trPr>
          <w:cantSplit/>
        </w:trPr>
        <w:tc>
          <w:tcPr>
            <w:tcW w:type="dxa" w:w="1944"/>
            <w:vAlign w:val="center"/>
          </w:tcPr>
          <w:p>
            <w:pPr>
              <w:spacing w:after="0" w:line="264" w:lineRule="auto"/>
              <w:jc w:val="center"/>
            </w:pPr>
            <w:r>
              <w:rPr>
                <w:b w:val="0"/>
                <w:sz w:val="20"/>
              </w:rPr>
              <w:t>5</w:t>
            </w:r>
          </w:p>
        </w:tc>
        <w:tc>
          <w:tcPr>
            <w:tcW w:type="dxa" w:w="2592"/>
            <w:vAlign w:val="center"/>
          </w:tcPr>
          <w:p>
            <w:pPr>
              <w:spacing w:after="0" w:line="264" w:lineRule="auto"/>
              <w:jc w:val="center"/>
            </w:pPr>
            <w:r>
              <w:rPr>
                <w:b w:val="0"/>
                <w:sz w:val="20"/>
              </w:rPr>
              <w:t>0.11843575</w:t>
            </w:r>
          </w:p>
        </w:tc>
        <w:tc>
          <w:tcPr>
            <w:tcW w:type="dxa" w:w="2592"/>
            <w:vAlign w:val="center"/>
          </w:tcPr>
          <w:p>
            <w:pPr>
              <w:spacing w:after="0" w:line="264" w:lineRule="auto"/>
              <w:jc w:val="center"/>
            </w:pPr>
            <w:r>
              <w:rPr>
                <w:b w:val="0"/>
                <w:sz w:val="20"/>
              </w:rPr>
              <w:t>0.004127097</w:t>
            </w:r>
          </w:p>
        </w:tc>
        <w:tc>
          <w:tcPr>
            <w:tcW w:type="dxa" w:w="2520"/>
            <w:vAlign w:val="center"/>
          </w:tcPr>
          <w:p>
            <w:pPr>
              <w:spacing w:after="0" w:line="264" w:lineRule="auto"/>
              <w:jc w:val="center"/>
            </w:pPr>
            <w:r>
              <w:rPr>
                <w:b w:val="0"/>
                <w:sz w:val="20"/>
              </w:rPr>
              <w:t>3.301699</w:t>
            </w:r>
          </w:p>
        </w:tc>
      </w:tr>
      <w:tr>
        <w:trPr>
          <w:cantSplit/>
        </w:trPr>
        <w:tc>
          <w:tcPr>
            <w:tcW w:type="dxa" w:w="1944"/>
            <w:vAlign w:val="center"/>
          </w:tcPr>
          <w:p>
            <w:pPr>
              <w:spacing w:after="0" w:line="264" w:lineRule="auto"/>
              <w:jc w:val="center"/>
            </w:pPr>
            <w:r>
              <w:rPr>
                <w:b w:val="0"/>
                <w:sz w:val="20"/>
              </w:rPr>
              <w:t>8</w:t>
            </w:r>
          </w:p>
        </w:tc>
        <w:tc>
          <w:tcPr>
            <w:tcW w:type="dxa" w:w="2592"/>
            <w:vAlign w:val="center"/>
          </w:tcPr>
          <w:p>
            <w:pPr>
              <w:spacing w:after="0" w:line="264" w:lineRule="auto"/>
              <w:jc w:val="center"/>
            </w:pPr>
            <w:r>
              <w:rPr>
                <w:b w:val="0"/>
                <w:sz w:val="20"/>
              </w:rPr>
              <w:t>0.09828988</w:t>
            </w:r>
          </w:p>
        </w:tc>
        <w:tc>
          <w:tcPr>
            <w:tcW w:type="dxa" w:w="2592"/>
            <w:vAlign w:val="center"/>
          </w:tcPr>
          <w:p>
            <w:pPr>
              <w:spacing w:after="0" w:line="264" w:lineRule="auto"/>
              <w:jc w:val="center"/>
            </w:pPr>
            <w:r>
              <w:rPr>
                <w:b w:val="0"/>
                <w:sz w:val="20"/>
              </w:rPr>
              <w:t>0.010372895</w:t>
            </w:r>
          </w:p>
        </w:tc>
        <w:tc>
          <w:tcPr>
            <w:tcW w:type="dxa" w:w="2520"/>
            <w:vAlign w:val="center"/>
          </w:tcPr>
          <w:p>
            <w:pPr>
              <w:spacing w:after="0" w:line="264" w:lineRule="auto"/>
              <w:jc w:val="center"/>
            </w:pPr>
            <w:r>
              <w:rPr>
                <w:b w:val="0"/>
                <w:sz w:val="20"/>
              </w:rPr>
              <w:t>8.298340</w:t>
            </w:r>
          </w:p>
        </w:tc>
      </w:tr>
      <w:tr>
        <w:trPr>
          <w:cantSplit/>
        </w:trPr>
        <w:tc>
          <w:tcPr>
            <w:tcW w:type="dxa" w:w="1944"/>
            <w:vAlign w:val="center"/>
          </w:tcPr>
          <w:p>
            <w:pPr>
              <w:spacing w:after="0" w:line="264" w:lineRule="auto"/>
              <w:jc w:val="center"/>
            </w:pPr>
            <w:r>
              <w:rPr>
                <w:b w:val="0"/>
                <w:sz w:val="20"/>
              </w:rPr>
              <w:t>8.97</w:t>
            </w:r>
          </w:p>
        </w:tc>
        <w:tc>
          <w:tcPr>
            <w:tcW w:type="dxa" w:w="2592"/>
            <w:vAlign w:val="center"/>
          </w:tcPr>
          <w:p>
            <w:pPr>
              <w:spacing w:after="0" w:line="264" w:lineRule="auto"/>
              <w:jc w:val="center"/>
            </w:pPr>
            <w:r>
              <w:rPr>
                <w:b w:val="0"/>
                <w:sz w:val="20"/>
              </w:rPr>
              <w:t>0.08678956</w:t>
            </w:r>
          </w:p>
        </w:tc>
        <w:tc>
          <w:tcPr>
            <w:tcW w:type="dxa" w:w="2592"/>
            <w:vAlign w:val="center"/>
          </w:tcPr>
          <w:p>
            <w:pPr>
              <w:spacing w:after="0" w:line="264" w:lineRule="auto"/>
              <w:jc w:val="center"/>
            </w:pPr>
            <w:r>
              <w:rPr>
                <w:b w:val="0"/>
                <w:sz w:val="20"/>
              </w:rPr>
              <w:t>0.012857528</w:t>
            </w:r>
          </w:p>
        </w:tc>
        <w:tc>
          <w:tcPr>
            <w:tcW w:type="dxa" w:w="2520"/>
            <w:vAlign w:val="center"/>
          </w:tcPr>
          <w:p>
            <w:pPr>
              <w:spacing w:after="0" w:line="264" w:lineRule="auto"/>
              <w:jc w:val="center"/>
            </w:pPr>
            <w:r>
              <w:rPr>
                <w:b w:val="0"/>
                <w:sz w:val="20"/>
              </w:rPr>
              <w:t>10.286127</w:t>
            </w:r>
          </w:p>
        </w:tc>
      </w:tr>
      <w:tr>
        <w:trPr>
          <w:cantSplit/>
        </w:trPr>
        <w:tc>
          <w:tcPr>
            <w:tcW w:type="dxa" w:w="1944"/>
            <w:vAlign w:val="center"/>
          </w:tcPr>
          <w:p>
            <w:pPr>
              <w:spacing w:after="0" w:line="264" w:lineRule="auto"/>
              <w:jc w:val="center"/>
            </w:pPr>
            <w:r>
              <w:rPr>
                <w:b w:val="0"/>
                <w:sz w:val="20"/>
              </w:rPr>
              <w:t>10</w:t>
            </w:r>
          </w:p>
        </w:tc>
        <w:tc>
          <w:tcPr>
            <w:tcW w:type="dxa" w:w="2592"/>
            <w:vAlign w:val="center"/>
          </w:tcPr>
          <w:p>
            <w:pPr>
              <w:spacing w:after="0" w:line="264" w:lineRule="auto"/>
              <w:jc w:val="center"/>
            </w:pPr>
            <w:r>
              <w:rPr>
                <w:b w:val="0"/>
                <w:sz w:val="20"/>
              </w:rPr>
              <w:t>0.07447917</w:t>
            </w:r>
          </w:p>
        </w:tc>
        <w:tc>
          <w:tcPr>
            <w:tcW w:type="dxa" w:w="2592"/>
            <w:vAlign w:val="center"/>
          </w:tcPr>
          <w:p>
            <w:pPr>
              <w:spacing w:after="0" w:line="264" w:lineRule="auto"/>
              <w:jc w:val="center"/>
            </w:pPr>
            <w:r>
              <w:rPr>
                <w:b w:val="0"/>
                <w:sz w:val="20"/>
              </w:rPr>
              <w:t>0.011272054</w:t>
            </w:r>
          </w:p>
        </w:tc>
        <w:tc>
          <w:tcPr>
            <w:tcW w:type="dxa" w:w="2520"/>
            <w:vAlign w:val="center"/>
          </w:tcPr>
          <w:p>
            <w:pPr>
              <w:spacing w:after="0" w:line="264" w:lineRule="auto"/>
              <w:jc w:val="center"/>
            </w:pPr>
            <w:r>
              <w:rPr>
                <w:b w:val="0"/>
                <w:sz w:val="20"/>
              </w:rPr>
              <w:t>9.017462</w:t>
            </w:r>
          </w:p>
        </w:tc>
      </w:tr>
      <w:tr>
        <w:trPr>
          <w:cantSplit/>
        </w:trPr>
        <w:tc>
          <w:tcPr>
            <w:tcW w:type="dxa" w:w="1944"/>
            <w:vAlign w:val="center"/>
          </w:tcPr>
          <w:p>
            <w:pPr>
              <w:spacing w:after="0" w:line="264" w:lineRule="auto"/>
              <w:jc w:val="center"/>
            </w:pPr>
            <w:r>
              <w:rPr>
                <w:b w:val="0"/>
                <w:sz w:val="20"/>
              </w:rPr>
              <w:t>19.99</w:t>
            </w:r>
          </w:p>
        </w:tc>
        <w:tc>
          <w:tcPr>
            <w:tcW w:type="dxa" w:w="2592"/>
            <w:vAlign w:val="center"/>
          </w:tcPr>
          <w:p>
            <w:pPr>
              <w:spacing w:after="0" w:line="264" w:lineRule="auto"/>
              <w:jc w:val="center"/>
            </w:pPr>
            <w:r>
              <w:rPr>
                <w:b w:val="0"/>
                <w:sz w:val="20"/>
              </w:rPr>
              <w:t>0.02156736</w:t>
            </w:r>
          </w:p>
        </w:tc>
        <w:tc>
          <w:tcPr>
            <w:tcW w:type="dxa" w:w="2592"/>
            <w:vAlign w:val="center"/>
          </w:tcPr>
          <w:p>
            <w:pPr>
              <w:spacing w:after="0" w:line="264" w:lineRule="auto"/>
              <w:jc w:val="center"/>
            </w:pPr>
            <w:r>
              <w:rPr>
                <w:b w:val="0"/>
                <w:sz w:val="20"/>
              </w:rPr>
              <w:t>0.001873496</w:t>
            </w:r>
          </w:p>
        </w:tc>
        <w:tc>
          <w:tcPr>
            <w:tcW w:type="dxa" w:w="2520"/>
            <w:vAlign w:val="center"/>
          </w:tcPr>
          <w:p>
            <w:pPr>
              <w:spacing w:after="0" w:line="264" w:lineRule="auto"/>
              <w:jc w:val="center"/>
            </w:pPr>
            <w:r>
              <w:rPr>
                <w:b w:val="0"/>
                <w:sz w:val="20"/>
              </w:rPr>
              <w:t>1.498795</w:t>
            </w:r>
          </w:p>
        </w:tc>
      </w:tr>
    </w:tbl>
    <w:p>
      <w:pPr>
        <w:spacing w:after="0"/>
      </w:pPr>
    </w:p>
    <w:p>
      <w:r>
        <w:rPr>
          <w:b w:val="0"/>
        </w:rPr>
        <w:t>8.97 是此离散数组中 ε 最大值所在时刻，不是对连续真解的无限精度极值。采用可压缩分支时，应把压力膨胀和密度扰动的影响纳入动能收支，再与不可压缩谱参考解释差异。</w:t>
      </w:r>
    </w:p>
    <w:p>
      <w:r>
        <w:rPr>
          <w:b/>
        </w:rPr>
        <w:t>测试量与 ILES 意义。</w:t>
      </w:r>
      <w:r>
        <w:rPr>
          <w:b w:val="0"/>
        </w:rPr>
        <w:t xml:space="preserve"> 同时比较 K、负时间导数、分子黏性耗散、Ω、能谱和 t=8 的固定截面涡量结构。只看总动能曲线可能出现“数值耗散补偿分子耗散不足”的假吻合。对周期盒，可以用完整动能预算残差估计净数值耗散，但它不是普适、局部、恒正的等效 SGS 黏度。</w:t>
      </w:r>
    </w:p>
    <w:p>
      <w:r>
        <w:rPr>
          <w:b/>
        </w:rPr>
        <w:t>实施与进展。</w:t>
      </w:r>
      <w:r>
        <w:rPr>
          <w:b w:val="0"/>
        </w:rPr>
        <w:t xml:space="preserve"> 建议先用 32³、64³、128³ 三档做方法比较，并对同一网格改变块划分，检查接口造成的耗散变化；这些是本报告建议，不能当作已通过验证的分辨率。TGV 广泛用于高阶方法评估，但晚期仍可能存在非均匀性和各向异性，因此还必须加入 C06／C07；无黏 TGV 的结论也不能直接替代 Re=1600 的黏性基准。</w:t>
      </w:r>
    </w:p>
    <w:p>
      <w:pPr>
        <w:pStyle w:val="Heading2"/>
      </w:pPr>
      <w:r>
        <w:t>C06 Comte–Bellot 与 Corrsin 衰减各向同性湍流</w:t>
      </w:r>
    </w:p>
    <w:p>
      <w:r>
        <w:rPr>
          <w:b/>
        </w:rPr>
        <w:t>实验背景与设置。</w:t>
      </w:r>
      <w:r>
        <w:rPr>
          <w:b w:val="0"/>
        </w:rPr>
        <w:t xml:space="preserve"> 格栅后的近似各向同性湍流是验证小尺度耗散、能谱输运和衰减规律的经典实验。1971 年研究的主要格栅间距 M=5.08 cm，来流 U₀=10 m/s，格栅实度约 0.34，并通过下游弱收缩改善各向同性。常用测量时标 U₀t/M 为 42、98、171；论文还含 2.54 cm 格栅，不能混用。原论文表 2、3 提供一维及三维能谱，表 4 给出整体量。</w:t>
      </w:r>
      <w:hyperlink r:id="rId25">
        <w:r>
          <w:rPr>
            <w:color w:val="205580"/>
            <w:rFonts w:eastAsia="宋体" w:ascii="Times New Roman" w:hAnsi="Times New Roman"/>
          </w:rPr>
          <w:t>R12</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656"/>
        <w:gridCol w:w="2016"/>
        <w:gridCol w:w="2016"/>
        <w:gridCol w:w="1800"/>
        <w:gridCol w:w="2160"/>
      </w:tblGrid>
      <w:tr>
        <w:trPr>
          <w:cantSplit/>
          <w:tblHeader/>
        </w:trPr>
        <w:tc>
          <w:tcPr>
            <w:tcW w:type="dxa" w:w="1656"/>
            <w:vAlign w:val="center"/>
            <w:shd w:fill="DEE7EF"/>
          </w:tcPr>
          <w:p>
            <w:pPr>
              <w:spacing w:after="0" w:line="264" w:lineRule="auto"/>
              <w:jc w:val="center"/>
            </w:pPr>
            <w:r>
              <w:rPr>
                <w:b/>
                <w:sz w:val="20"/>
              </w:rPr>
              <w:t>U₀t/M</w:t>
            </w:r>
          </w:p>
        </w:tc>
        <w:tc>
          <w:tcPr>
            <w:tcW w:type="dxa" w:w="2016"/>
            <w:vAlign w:val="center"/>
            <w:shd w:fill="DEE7EF"/>
          </w:tcPr>
          <w:p>
            <w:pPr>
              <w:spacing w:after="0" w:line="264" w:lineRule="auto"/>
              <w:jc w:val="left"/>
            </w:pPr>
            <w:r>
              <w:rPr>
                <w:b/>
                <w:sz w:val="20"/>
              </w:rPr>
              <w:t>u′ RMS cm/s</w:t>
            </w:r>
          </w:p>
        </w:tc>
        <w:tc>
          <w:tcPr>
            <w:tcW w:type="dxa" w:w="2016"/>
            <w:vAlign w:val="center"/>
            <w:shd w:fill="DEE7EF"/>
          </w:tcPr>
          <w:p>
            <w:pPr>
              <w:spacing w:after="0" w:line="264" w:lineRule="auto"/>
              <w:jc w:val="left"/>
            </w:pPr>
            <w:r>
              <w:rPr>
                <w:b/>
                <w:sz w:val="20"/>
              </w:rPr>
              <w:t>ε cm²/s³</w:t>
            </w:r>
          </w:p>
        </w:tc>
        <w:tc>
          <w:tcPr>
            <w:tcW w:type="dxa" w:w="1800"/>
            <w:vAlign w:val="center"/>
            <w:shd w:fill="DEE7EF"/>
          </w:tcPr>
          <w:p>
            <w:pPr>
              <w:spacing w:after="0" w:line="264" w:lineRule="auto"/>
              <w:jc w:val="left"/>
            </w:pPr>
            <w:r>
              <w:rPr>
                <w:b/>
                <w:sz w:val="20"/>
              </w:rPr>
              <w:t>Reλ</w:t>
            </w:r>
          </w:p>
        </w:tc>
        <w:tc>
          <w:tcPr>
            <w:tcW w:type="dxa" w:w="2160"/>
            <w:vAlign w:val="center"/>
            <w:shd w:fill="DEE7EF"/>
          </w:tcPr>
          <w:p>
            <w:pPr>
              <w:spacing w:after="0" w:line="264" w:lineRule="auto"/>
              <w:jc w:val="left"/>
            </w:pPr>
            <w:r>
              <w:rPr>
                <w:b/>
                <w:sz w:val="20"/>
              </w:rPr>
              <w:t>Kolmogorov 尺度 cm</w:t>
            </w:r>
          </w:p>
        </w:tc>
      </w:tr>
      <w:tr>
        <w:trPr>
          <w:cantSplit/>
        </w:trPr>
        <w:tc>
          <w:tcPr>
            <w:tcW w:type="dxa" w:w="1656"/>
            <w:vAlign w:val="center"/>
          </w:tcPr>
          <w:p>
            <w:pPr>
              <w:spacing w:after="0" w:line="264" w:lineRule="auto"/>
              <w:jc w:val="center"/>
            </w:pPr>
            <w:r>
              <w:rPr>
                <w:b w:val="0"/>
                <w:sz w:val="20"/>
              </w:rPr>
              <w:t>42</w:t>
            </w:r>
          </w:p>
        </w:tc>
        <w:tc>
          <w:tcPr>
            <w:tcW w:type="dxa" w:w="2016"/>
            <w:vAlign w:val="center"/>
          </w:tcPr>
          <w:p>
            <w:pPr>
              <w:spacing w:after="0" w:line="264" w:lineRule="auto"/>
              <w:jc w:val="left"/>
            </w:pPr>
            <w:r>
              <w:rPr>
                <w:b w:val="0"/>
                <w:sz w:val="20"/>
              </w:rPr>
              <w:t>22.2</w:t>
            </w:r>
          </w:p>
        </w:tc>
        <w:tc>
          <w:tcPr>
            <w:tcW w:type="dxa" w:w="2016"/>
            <w:vAlign w:val="center"/>
          </w:tcPr>
          <w:p>
            <w:pPr>
              <w:spacing w:after="0" w:line="264" w:lineRule="auto"/>
              <w:jc w:val="left"/>
            </w:pPr>
            <w:r>
              <w:rPr>
                <w:b w:val="0"/>
                <w:sz w:val="20"/>
              </w:rPr>
              <w:t>4740</w:t>
            </w:r>
          </w:p>
        </w:tc>
        <w:tc>
          <w:tcPr>
            <w:tcW w:type="dxa" w:w="1800"/>
            <w:vAlign w:val="center"/>
          </w:tcPr>
          <w:p>
            <w:pPr>
              <w:spacing w:after="0" w:line="264" w:lineRule="auto"/>
              <w:jc w:val="left"/>
            </w:pPr>
            <w:r>
              <w:rPr>
                <w:b w:val="0"/>
                <w:sz w:val="20"/>
              </w:rPr>
              <w:t>71.6</w:t>
            </w:r>
          </w:p>
        </w:tc>
        <w:tc>
          <w:tcPr>
            <w:tcW w:type="dxa" w:w="2160"/>
            <w:vAlign w:val="center"/>
          </w:tcPr>
          <w:p>
            <w:pPr>
              <w:spacing w:after="0" w:line="264" w:lineRule="auto"/>
              <w:jc w:val="left"/>
            </w:pPr>
            <w:r>
              <w:rPr>
                <w:b w:val="0"/>
                <w:sz w:val="20"/>
              </w:rPr>
              <w:t>0.029</w:t>
            </w:r>
          </w:p>
        </w:tc>
      </w:tr>
      <w:tr>
        <w:trPr>
          <w:cantSplit/>
        </w:trPr>
        <w:tc>
          <w:tcPr>
            <w:tcW w:type="dxa" w:w="1656"/>
            <w:vAlign w:val="center"/>
          </w:tcPr>
          <w:p>
            <w:pPr>
              <w:spacing w:after="0" w:line="264" w:lineRule="auto"/>
              <w:jc w:val="center"/>
            </w:pPr>
            <w:r>
              <w:rPr>
                <w:b w:val="0"/>
                <w:sz w:val="20"/>
              </w:rPr>
              <w:t>98</w:t>
            </w:r>
          </w:p>
        </w:tc>
        <w:tc>
          <w:tcPr>
            <w:tcW w:type="dxa" w:w="2016"/>
            <w:vAlign w:val="center"/>
          </w:tcPr>
          <w:p>
            <w:pPr>
              <w:spacing w:after="0" w:line="264" w:lineRule="auto"/>
              <w:jc w:val="left"/>
            </w:pPr>
            <w:r>
              <w:rPr>
                <w:b w:val="0"/>
                <w:sz w:val="20"/>
              </w:rPr>
              <w:t>12.8</w:t>
            </w:r>
          </w:p>
        </w:tc>
        <w:tc>
          <w:tcPr>
            <w:tcW w:type="dxa" w:w="2016"/>
            <w:vAlign w:val="center"/>
          </w:tcPr>
          <w:p>
            <w:pPr>
              <w:spacing w:after="0" w:line="264" w:lineRule="auto"/>
              <w:jc w:val="left"/>
            </w:pPr>
            <w:r>
              <w:rPr>
                <w:b w:val="0"/>
                <w:sz w:val="20"/>
              </w:rPr>
              <w:t>633</w:t>
            </w:r>
          </w:p>
        </w:tc>
        <w:tc>
          <w:tcPr>
            <w:tcW w:type="dxa" w:w="1800"/>
            <w:vAlign w:val="center"/>
          </w:tcPr>
          <w:p>
            <w:pPr>
              <w:spacing w:after="0" w:line="264" w:lineRule="auto"/>
              <w:jc w:val="left"/>
            </w:pPr>
            <w:r>
              <w:rPr>
                <w:b w:val="0"/>
                <w:sz w:val="20"/>
              </w:rPr>
              <w:t>65.3</w:t>
            </w:r>
          </w:p>
        </w:tc>
        <w:tc>
          <w:tcPr>
            <w:tcW w:type="dxa" w:w="2160"/>
            <w:vAlign w:val="center"/>
          </w:tcPr>
          <w:p>
            <w:pPr>
              <w:spacing w:after="0" w:line="264" w:lineRule="auto"/>
              <w:jc w:val="left"/>
            </w:pPr>
            <w:r>
              <w:rPr>
                <w:b w:val="0"/>
                <w:sz w:val="20"/>
              </w:rPr>
              <w:t>0.048</w:t>
            </w:r>
          </w:p>
        </w:tc>
      </w:tr>
      <w:tr>
        <w:trPr>
          <w:cantSplit/>
        </w:trPr>
        <w:tc>
          <w:tcPr>
            <w:tcW w:type="dxa" w:w="1656"/>
            <w:vAlign w:val="center"/>
          </w:tcPr>
          <w:p>
            <w:pPr>
              <w:spacing w:after="0" w:line="264" w:lineRule="auto"/>
              <w:jc w:val="center"/>
            </w:pPr>
            <w:r>
              <w:rPr>
                <w:b w:val="0"/>
                <w:sz w:val="20"/>
              </w:rPr>
              <w:t>171</w:t>
            </w:r>
          </w:p>
        </w:tc>
        <w:tc>
          <w:tcPr>
            <w:tcW w:type="dxa" w:w="2016"/>
            <w:vAlign w:val="center"/>
          </w:tcPr>
          <w:p>
            <w:pPr>
              <w:spacing w:after="0" w:line="264" w:lineRule="auto"/>
              <w:jc w:val="left"/>
            </w:pPr>
            <w:r>
              <w:rPr>
                <w:b w:val="0"/>
                <w:sz w:val="20"/>
              </w:rPr>
              <w:t>8.95</w:t>
            </w:r>
          </w:p>
        </w:tc>
        <w:tc>
          <w:tcPr>
            <w:tcW w:type="dxa" w:w="2016"/>
            <w:vAlign w:val="center"/>
          </w:tcPr>
          <w:p>
            <w:pPr>
              <w:spacing w:after="0" w:line="264" w:lineRule="auto"/>
              <w:jc w:val="left"/>
            </w:pPr>
            <w:r>
              <w:rPr>
                <w:b w:val="0"/>
                <w:sz w:val="20"/>
              </w:rPr>
              <w:t>174</w:t>
            </w:r>
          </w:p>
        </w:tc>
        <w:tc>
          <w:tcPr>
            <w:tcW w:type="dxa" w:w="1800"/>
            <w:vAlign w:val="center"/>
          </w:tcPr>
          <w:p>
            <w:pPr>
              <w:spacing w:after="0" w:line="264" w:lineRule="auto"/>
              <w:jc w:val="left"/>
            </w:pPr>
            <w:r>
              <w:rPr>
                <w:b w:val="0"/>
                <w:sz w:val="20"/>
              </w:rPr>
              <w:t>60.7</w:t>
            </w:r>
          </w:p>
        </w:tc>
        <w:tc>
          <w:tcPr>
            <w:tcW w:type="dxa" w:w="2160"/>
            <w:vAlign w:val="center"/>
          </w:tcPr>
          <w:p>
            <w:pPr>
              <w:spacing w:after="0" w:line="264" w:lineRule="auto"/>
              <w:jc w:val="left"/>
            </w:pPr>
            <w:r>
              <w:rPr>
                <w:b w:val="0"/>
                <w:sz w:val="20"/>
              </w:rPr>
              <w:t>0.066</w:t>
            </w:r>
          </w:p>
        </w:tc>
      </w:tr>
    </w:tbl>
    <w:p>
      <w:pPr>
        <w:spacing w:after="0"/>
      </w:pPr>
    </w:p>
    <w:p>
      <w:r>
        <w:rPr>
          <w:b w:val="0"/>
        </w:rPr>
        <w:t>上表为 5.08 cm 格栅的原论文表值，保留原有效位数；例如 ε=4740 cm²/s³ 对应 0.474 m²/s³。Reλ 最后一点为 60.7，不采用部分二手资料中的 60.3。</w:t>
      </w:r>
      <w:hyperlink r:id="rId26">
        <w:r>
          <w:rPr>
            <w:color w:val="205580"/>
            <w:rFonts w:eastAsia="宋体" w:ascii="Times New Roman" w:hAnsi="Times New Roman"/>
          </w:rPr>
          <w:t>原始全文与表 4</w:t>
        </w:r>
      </w:hyperlink>
    </w:p>
    <w:p>
      <w:r>
        <w:rPr>
          <w:b/>
        </w:rPr>
        <w:t>计算对应。</w:t>
      </w:r>
      <w:r>
        <w:rPr>
          <w:b w:val="0"/>
        </w:rPr>
        <w:t xml:space="preserve"> 通常不直接解析实体格栅，而在三周期盒中生成与第一测站能谱一致的无散随机速度场，再计算到后两测站。必须保存随机种子、盒长与波数单位、低波数补偿方式和初始离散投影；首次滤波之后的实际 K、谱和无散误差都要检查。风洞的空间测量转为时间衰减需要声明 Taylor 冻结假设及使用的对流速度。</w:t>
      </w:r>
    </w:p>
    <w:p>
      <w:r>
        <w:rPr>
          <w:b/>
        </w:rPr>
        <w:t>测试量与意义。</w:t>
      </w:r>
      <w:r>
        <w:rPr>
          <w:b w:val="0"/>
        </w:rPr>
        <w:t xml:space="preserve"> 比较三时刻 E(k)、各分量能量、衰减率、积分尺度、Reλ 和各向异性。该例比 TGV 更接近已存在湍流的演化，能发现某格式对随机宽带场过度耗散，或把能量堵塞在截止波数附近。无需近壁网格，适合当前程序先行增加。</w:t>
      </w:r>
    </w:p>
    <w:p>
      <w:r>
        <w:rPr>
          <w:b/>
        </w:rPr>
        <w:t>研究进展及限制。</w:t>
      </w:r>
      <w:r>
        <w:rPr>
          <w:b w:val="0"/>
        </w:rPr>
        <w:t xml:space="preserve"> 后续工作广泛将实验谱用于 LES 初值与合成湍流验证，但实验一维谱与三维球壳谱有不同定义。应做多个随机实现，比较集合统计及低波数敏感性，避免只选一组种子使衰减曲线吻合。历史实验的有限测量范围和噪声修正也意味着不能用尾部谱值制定没有误差容限的硬阈值。</w:t>
      </w:r>
    </w:p>
    <w:p>
      <w:pPr>
        <w:pStyle w:val="Heading2"/>
      </w:pPr>
      <w:r>
        <w:t>C07 强迫均匀各向同性湍流</w:t>
      </w:r>
    </w:p>
    <w:p>
      <w:r>
        <w:rPr>
          <w:b/>
        </w:rPr>
        <w:t>背景与配置。</w:t>
      </w:r>
      <w:r>
        <w:rPr>
          <w:b w:val="0"/>
        </w:rPr>
        <w:t xml:space="preserve"> 在周期盒低波数持续注入能量，可形成统计稳态的级联，避免衰减问题中时刻对齐的困难。JHTDB 1024³ 数据采用 2π 立方域、ν=0.000185，保持波数模长不大于 2 的模态总能量，形成稳定大尺度强迫。模拟时间步 0.0002，存储间隔 0.002。不能将恒能低模态强迫替换为任意随机体力后仍宣称精确复现。</w:t>
      </w:r>
      <w:hyperlink r:id="rId27">
        <w:r>
          <w:rPr>
            <w:color w:val="205580"/>
            <w:rFonts w:eastAsia="宋体" w:ascii="Times New Roman" w:hAnsi="Times New Roman"/>
          </w:rPr>
          <w:t>R13</w:t>
        </w:r>
      </w:hyperlink>
    </w:p>
    <w:p>
      <w:r>
        <w:rPr>
          <w:b/>
        </w:rPr>
        <w:t>参考统计及时间窗。</w:t>
      </w:r>
      <w:r>
        <w:rPr>
          <w:b w:val="0"/>
        </w:rPr>
        <w:t xml:space="preserve"> 原始短窗 t=0–2.048 的统计为 K=0.695、ε=0.0928、u′=0.681、Reλ=433。扩展数据说明对 t=0–10.056 的平均为 K=0.705、ε=0.103、u′=0.686、Reλ=418，积分尺度约 1.364，约覆盖五个大涡周转时间。这一差异说明“数据库 Reλ=433”并非任意时间窗都严格成立。本次保存了原始 README，尚未下载体量巨大的三维场。</w:t>
      </w:r>
      <w:hyperlink r:id="rId27">
        <w:r>
          <w:rPr>
            <w:color w:val="205580"/>
            <w:rFonts w:eastAsia="宋体" w:ascii="Times New Roman" w:hAnsi="Times New Roman"/>
          </w:rPr>
          <w:t>R13</w:t>
        </w:r>
      </w:hyperlink>
    </w:p>
    <w:p>
      <w:r>
        <w:rPr>
          <w:b/>
        </w:rPr>
        <w:t>测试量与意义。</w:t>
      </w:r>
      <w:r>
        <w:rPr>
          <w:b w:val="0"/>
        </w:rPr>
        <w:t xml:space="preserve"> 除平均 K、输入功率和耗散平衡外，应比较 E(k)、积分尺度、二阶和三阶结构函数、速度梯度偏度／平坦度、压力统计及能量通量。具有 −5/3 区间并不单独证明耗散正确；谱幅值、通量及大尺度统计必须同时合理。可压缩程序应控制湍流马赫数，区分声学模态与旋度模态。</w:t>
      </w:r>
    </w:p>
    <w:p>
      <w:r>
        <w:rPr>
          <w:b/>
        </w:rPr>
        <w:t>结构网格与研究进展。</w:t>
      </w:r>
      <w:r>
        <w:rPr>
          <w:b w:val="0"/>
        </w:rPr>
        <w:t xml:space="preserve"> 笛卡尔多块周期网格很容易构造，难点在强迫与频域统计。JHTDB 已扩展到更高分辨率并更新访问工具；部分超大数据集只包含少数快照，不能拿它们计算长时间频谱。使用接口插值或有限差分梯度时，还应承认这与原谱导数不同，数据库场的“非零数值散度”不必然意味着 DNS 本身不无散。</w:t>
      </w:r>
      <w:hyperlink r:id="rId28">
        <w:r>
          <w:rPr>
            <w:color w:val="205580"/>
            <w:rFonts w:eastAsia="宋体" w:ascii="Times New Roman" w:hAnsi="Times New Roman"/>
          </w:rPr>
          <w:t>R14</w:t>
        </w:r>
      </w:hyperlink>
    </w:p>
    <w:p>
      <w:pPr>
        <w:pStyle w:val="Heading1"/>
      </w:pPr>
      <w:r>
        <w:t>5 壁面湍流的扩展验证</w:t>
      </w:r>
    </w:p>
    <w:p>
      <w:pPr>
        <w:pStyle w:val="Heading2"/>
      </w:pPr>
      <w:r>
        <w:t>C08 光滑圆管湍流</w:t>
      </w:r>
    </w:p>
    <w:p>
      <w:r>
        <w:rPr>
          <w:b/>
        </w:rPr>
        <w:t>背景与配置。</w:t>
      </w:r>
      <w:r>
        <w:rPr>
          <w:b w:val="0"/>
        </w:rPr>
        <w:t xml:space="preserve"> 圆管提供封闭横截面、轴向周期和恒定压力梯度或恒流量驱动，可检验槽道结果能否迁移到曲率与轴向大尺度不同的壁湍流。定义 Reτ 时以管半径 R 为长度，体积雷诺数 Reᵦ 则通常以直径 2R 为长度。Yao 等 2023 的 DNS 使用轴向长度 10πR，覆盖至 Reτ≈5200，采用谱方法并量化统计不确定性。Pirozzoli 等 2021 的另一系列覆盖至约 6000，典型长度 15R。</w:t>
      </w:r>
      <w:hyperlink r:id="rId29">
        <w:r>
          <w:rPr>
            <w:color w:val="205580"/>
            <w:rFonts w:eastAsia="宋体" w:ascii="Times New Roman" w:hAnsi="Times New Roman"/>
          </w:rPr>
          <w:t>R15</w:t>
        </w:r>
      </w:hyperlink>
      <w:r>
        <w:rPr>
          <w:b w:val="0"/>
        </w:rPr>
        <w:t xml:space="preserve"> </w:t>
      </w:r>
      <w:hyperlink r:id="rId30">
        <w:r>
          <w:rPr>
            <w:color w:val="205580"/>
            <w:rFonts w:eastAsia="宋体" w:ascii="Times New Roman" w:hAnsi="Times New Roman"/>
          </w:rPr>
          <w:t>R16</w:t>
        </w:r>
      </w:hyperlink>
    </w:p>
    <w:p>
      <w:r>
        <w:rPr>
          <w:b/>
        </w:rPr>
        <w:t>参考结果与数据入口。</w:t>
      </w:r>
      <w:r>
        <w:rPr>
          <w:b w:val="0"/>
        </w:rPr>
        <w:t xml:space="preserve"> 2023 DNS 的均值、应力、压力和谱数据通过 Texas Data Repository 的 turbpipe 数据空间公开。建议选择其中低 Reτ 数据集建立首例，记录实际 Reᵦ、Reτ、长度、驱动和采样时间后再导入数组。本次确认论文与数据入口，未逐个下载仓库文件。摩擦应明确是 Cf 还是 Darcy 摩阻系数；后者为前者的 4 倍。不同 DNS 系列在摩阻和近壁脉动峰上有可辨差异，不能把某条经验摩阻律当成比 DNS 更精确的真值。</w:t>
      </w:r>
      <w:hyperlink r:id="rId31">
        <w:r>
          <w:rPr>
            <w:color w:val="205580"/>
            <w:rFonts w:eastAsia="宋体" w:ascii="Times New Roman" w:hAnsi="Times New Roman"/>
          </w:rPr>
          <w:t>数据仓库</w:t>
        </w:r>
      </w:hyperlink>
    </w:p>
    <w:p>
      <w:r>
        <w:rPr>
          <w:b/>
        </w:rPr>
        <w:t>测试量与 ILES 意义。</w:t>
      </w:r>
      <w:r>
        <w:rPr>
          <w:b w:val="0"/>
        </w:rPr>
        <w:t xml:space="preserve"> 检查压降、体积流量、摩阻、径向速度剖面、三方向应力、近壁脉动峰、压力 RMS、轴向及周向谱。轴线附近应保持速度和几何正则性。若槽道表现良好而圆管摩阻偏差大，应先排查曲线网格度量、中心区域拓扑、周向分辨率和轴向盒长，再讨论模型普适性。</w:t>
      </w:r>
    </w:p>
    <w:p>
      <w:r>
        <w:rPr>
          <w:b/>
        </w:rPr>
        <w:t>实施与进展。</w:t>
      </w:r>
      <w:r>
        <w:rPr>
          <w:b w:val="0"/>
        </w:rPr>
        <w:t xml:space="preserve"> 适合中心方块加外围 O 型块的结构拓扑，避免退化轴线单元；统计应在物理径向上归并，不按块索引简单平均。近年高 Re DNS 继续讨论对数律和外层峰值，其拟合常数仍存在数据集与尺度选择差异。本程序宜先使用低 Reτ、充分近壁分辨的管流，暂不以极高雷诺数拟合常数作为粗网格 ILES 的合格条件。</w:t>
      </w:r>
    </w:p>
    <w:p>
      <w:pPr>
        <w:pStyle w:val="Heading2"/>
      </w:pPr>
      <w:r>
        <w:t>C09 光滑方管与第二类二次流</w:t>
      </w:r>
    </w:p>
    <w:p>
      <w:r>
        <w:rPr>
          <w:b/>
        </w:rPr>
        <w:t>背景与配置。</w:t>
      </w:r>
      <w:r>
        <w:rPr>
          <w:b w:val="0"/>
        </w:rPr>
        <w:t xml:space="preserve"> 四个无滑移壁围成方形截面，流向周期并由压力驱动。角区应力各向异性产生 Prandtl 第二类二次流，典型平均横截面有八个涡胞。Pirozzoli 等的 DNS 覆盖以半边长及周向平均壁剪定义的 Reτ 约 150–1055。平均横向速度仅为体积平均速度的约 1%–2%，因此需要比普通平均轴向速度更长的统计时间。</w:t>
      </w:r>
      <w:hyperlink r:id="rId32">
        <w:r>
          <w:rPr>
            <w:color w:val="205580"/>
            <w:rFonts w:eastAsia="宋体" w:ascii="Times New Roman" w:hAnsi="Times New Roman"/>
          </w:rPr>
          <w:t>R17</w:t>
        </w:r>
      </w:hyperlink>
    </w:p>
    <w:p>
      <w:r>
        <w:rPr>
          <w:b/>
        </w:rPr>
        <w:t>参考结果与数据状态。</w:t>
      </w:r>
      <w:r>
        <w:rPr>
          <w:b w:val="0"/>
        </w:rPr>
        <w:t xml:space="preserve"> 应从论文同一 Re 数据获取完整截面 U、V、W、应力及周向壁剪。Modesti 等的动量／阻力分解表明，在所研究条件下二次流贡献约占总摩阻 6%；这是指定分解下的结果，不是所有方管的固定比例。本次核实论文和表述，未取得可以立即用于误差计算的完整截面原始数组，实施前应联系作者或确认作者公开数据版本。</w:t>
      </w:r>
      <w:hyperlink r:id="rId33">
        <w:r>
          <w:rPr>
            <w:color w:val="205580"/>
            <w:rFonts w:eastAsia="宋体" w:ascii="Times New Roman" w:hAnsi="Times New Roman"/>
          </w:rPr>
          <w:t>R18</w:t>
        </w:r>
      </w:hyperlink>
    </w:p>
    <w:p>
      <w:r>
        <w:rPr>
          <w:b/>
        </w:rPr>
        <w:t>测试量与指导意义。</w:t>
      </w:r>
      <w:r>
        <w:rPr>
          <w:b w:val="0"/>
        </w:rPr>
        <w:t xml:space="preserve"> 除总体 Cf，还要比较二次流矢量、流向涡量、八涡拓扑、沿周向壁剪以及角平分线和壁面中线上的应力。标量涡黏性 RANS 难以完整描述驱动这种二次流的应力差异；ILES 则应通过解析非定常结构产生它。若横向平均速度接近采样噪声，不能凭图像像“八个涡”就判定通过，应报告时间分块置信区间。</w:t>
      </w:r>
    </w:p>
    <w:p>
      <w:r>
        <w:rPr>
          <w:b/>
        </w:rPr>
        <w:t>实施与进展。</w:t>
      </w:r>
      <w:r>
        <w:rPr>
          <w:b w:val="0"/>
        </w:rPr>
        <w:t xml:space="preserve"> 方形截面比圆管容易构造多块结构网格，能有效区分“总压降正确”和“各向异性正确”。2026 年 9 月 Verolini、Xiao、Pirozzoli 将研究扩展到极高 Re 的 WMLES，关注二次流强度的尺度变化；该研究使用壁面模型，不能直接证明无壁面模型粗网格 ILES 同样适用。</w:t>
      </w:r>
      <w:hyperlink r:id="rId34">
        <w:r>
          <w:rPr>
            <w:color w:val="205580"/>
            <w:rFonts w:eastAsia="宋体" w:ascii="Times New Roman" w:hAnsi="Times New Roman"/>
          </w:rPr>
          <w:t>R19</w:t>
        </w:r>
      </w:hyperlink>
    </w:p>
    <w:p>
      <w:pPr>
        <w:pStyle w:val="Heading2"/>
      </w:pPr>
      <w:r>
        <w:t>C10 零压梯度平板湍流边界层</w:t>
      </w:r>
    </w:p>
    <w:p>
      <w:r>
        <w:rPr>
          <w:b/>
        </w:rPr>
        <w:t>背景与设置。</w:t>
      </w:r>
      <w:r>
        <w:rPr>
          <w:b w:val="0"/>
        </w:rPr>
        <w:t xml:space="preserve"> 与周期槽道不同，边界层沿下游增厚，入口湍流生成和对流发展成为独立误差来源。标准配置为平板无滑移壁、恒定外缘速度、展向周期、足够远的顶部和非反射出口；入口可由上游前驱场或经验证的回收再标度方法提供。应保持边界层外缘近零压梯度，而不是仅给一个恒定出口压力。</w:t>
      </w:r>
    </w:p>
    <w:p>
      <w:r>
        <w:rPr>
          <w:b/>
        </w:rPr>
        <w:t>参考结果。</w:t>
      </w:r>
      <w:r>
        <w:rPr>
          <w:b w:val="0"/>
        </w:rPr>
        <w:t xml:space="preserve"> KTH 的 Schlatter–Örlü 2010 DNS 数据库公开多站剖面与预算，名义 Reθ 从约 670 到 4060。实际下载的 vel_1410_dns.prof 文件头为 Reθ=1420.960、Reδ*=2030.877、Reτ=492.2115、H₁₂=1.429229、Cf=0.003884512。应以文件头的实际值匹配，不将文件名“1410”当精确雷诺数。该文件还给出均速、三分量 RMS、剪应力、压力及涡量统计。</w:t>
      </w:r>
      <w:hyperlink r:id="rId35">
        <w:r>
          <w:rPr>
            <w:color w:val="205580"/>
            <w:rFonts w:eastAsia="宋体" w:ascii="Times New Roman" w:hAnsi="Times New Roman"/>
          </w:rPr>
          <w:t>R20</w:t>
        </w:r>
      </w:hyperlink>
      <w:r>
        <w:rPr>
          <w:b w:val="0"/>
        </w:rPr>
        <w:t xml:space="preserve"> </w:t>
      </w:r>
      <w:hyperlink r:id="rId36">
        <w:r>
          <w:rPr>
            <w:color w:val="205580"/>
            <w:rFonts w:eastAsia="宋体" w:ascii="Times New Roman" w:hAnsi="Times New Roman"/>
          </w:rPr>
          <w:t>原始剖面</w:t>
        </w:r>
      </w:hyperlink>
    </w:p>
    <w:p>
      <w:r>
        <w:rPr>
          <w:b/>
        </w:rPr>
        <w:t>测试量与意义。</w:t>
      </w:r>
      <w:r>
        <w:rPr>
          <w:b w:val="0"/>
        </w:rPr>
        <w:t xml:space="preserve"> 沿 x 比较 Cf、δ₉₉、位移厚度、动量厚度、形状因子和实际 Reθ；在匹配 Reθ 的测站比较 U⁺、应力和谱，不能只在相同几何 x 对比。该例能够检查入口扰动是否在下游异常衰减，统计是否由入口强迫而非自主湍流维持，也是后台阶、隆起、压缩拐角前驱流的必要基础。</w:t>
      </w:r>
    </w:p>
    <w:p>
      <w:r>
        <w:rPr>
          <w:b/>
        </w:rPr>
        <w:t>实施与进展。</w:t>
      </w:r>
      <w:r>
        <w:rPr>
          <w:b w:val="0"/>
        </w:rPr>
        <w:t xml:space="preserve"> 多块网格可沿流向分段、壁法向拉伸，但接口处应避免尺度跳变。KTH 页面同时列有更高 Re 的 LES 和早期数据，不能将所有下载项统称为 DNS。首轮建议选中等 Reθ 剖面做空间发展验证，并同时保留入口及若干上游剖面；调整入口直至下游 Cf 匹配而不检查应力谱，可能掩盖合成入口的缺陷。</w:t>
      </w:r>
    </w:p>
    <w:p>
      <w:pPr>
        <w:pStyle w:val="Heading2"/>
      </w:pPr>
      <w:r>
        <w:t>C11 逆压梯度湍流边界层</w:t>
      </w:r>
    </w:p>
    <w:p>
      <w:r>
        <w:rPr>
          <w:b/>
        </w:rPr>
        <w:t>背景与配置。</w:t>
      </w:r>
      <w:r>
        <w:rPr>
          <w:b w:val="0"/>
        </w:rPr>
        <w:t xml:space="preserve"> 外缘速度沿流向降低后，湍流边界层变厚、应力外峰增强，并可接近分离。它比几何分离问题更便于控制压力历史。应给定完整的外缘压力或速度分布，采用可信湍流入口，并监测 Clauser 参数 β；β 是位移厚度乘外缘压力梯度再除以壁面剪应力。只指定测站的 Reθ 和 β，不能完整定义该流动。</w:t>
      </w:r>
    </w:p>
    <w:p>
      <w:r>
        <w:rPr>
          <w:b/>
        </w:rPr>
        <w:t>DNS 基准。</w:t>
      </w:r>
      <w:r>
        <w:rPr>
          <w:b w:val="0"/>
        </w:rPr>
        <w:t xml:space="preserve"> Kitsios 等 2017 的自相似强 APG DNS 总体 Reθ 范围约 570–13800，自相似区域为 10000–12300，平均 β≈39，并与 β≈1 和零压梯度结果比较。强 APG 下应力、产生和耗散出现明显外峰，适合测试从近壁湍流向自由剪切层行为的转变。本次获得论文与配置依据，未获得其完整原始剖面数据库；不另造某个峰值或通用再附位置。</w:t>
      </w:r>
      <w:hyperlink r:id="rId37">
        <w:r>
          <w:rPr>
            <w:color w:val="205580"/>
            <w:rFonts w:eastAsia="宋体" w:ascii="Times New Roman" w:hAnsi="Times New Roman"/>
          </w:rPr>
          <w:t>R21</w:t>
        </w:r>
      </w:hyperlink>
    </w:p>
    <w:p>
      <w:r>
        <w:rPr>
          <w:b/>
        </w:rPr>
        <w:t>测试量与 ILES 意义。</w:t>
      </w:r>
      <w:r>
        <w:rPr>
          <w:b w:val="0"/>
        </w:rPr>
        <w:t xml:space="preserve"> 需比较 Cf、H、外缘速度和 β 的流向历史，内外尺度下的均值／应力、压力 RMS、产生项及外峰位置。强 APG 接近分离时 uτ 变小，单用壁面单位会放大或扭曲误差，应同时采用外缘速度和厚度归一化。该例可检验在槽道调好的离散耗散是否在非平衡区域仍能保留大尺度结构。</w:t>
      </w:r>
    </w:p>
    <w:p>
      <w:r>
        <w:rPr>
          <w:b/>
        </w:rPr>
        <w:t>研究进展与实施顺序。</w:t>
      </w:r>
      <w:r>
        <w:rPr>
          <w:b w:val="0"/>
        </w:rPr>
        <w:t xml:space="preserve"> Bobke 等 2017 的高分辨率 LES 强调压力梯度历史：同一局部 β 和 Re 也可能有不同统计。其证据类型为 LES，不能写成另一组 DNS。对无壁面模型粗网格计算，宜先选择较温和、低 Re 的 APG，再以强 APG 为难度上限；复制 β≈39 的完整高 Re 近壁解析计算不应是首个新增目标。</w:t>
      </w:r>
      <w:hyperlink r:id="rId38">
        <w:r>
          <w:rPr>
            <w:color w:val="205580"/>
            <w:rFonts w:eastAsia="宋体" w:ascii="Times New Roman" w:hAnsi="Times New Roman"/>
          </w:rPr>
          <w:t>R22</w:t>
        </w:r>
      </w:hyperlink>
    </w:p>
    <w:p>
      <w:pPr>
        <w:pStyle w:val="Heading2"/>
      </w:pPr>
      <w:r>
        <w:t>C12 可压缩平板湍流边界层与冷热壁</w:t>
      </w:r>
    </w:p>
    <w:p>
      <w:r>
        <w:rPr>
          <w:b/>
        </w:rPr>
        <w:t>背景与配置。</w:t>
      </w:r>
      <w:r>
        <w:rPr>
          <w:b w:val="0"/>
        </w:rPr>
        <w:t xml:space="preserve"> 高速壁面湍流即使没有激波，也存在显著密度、黏度及温度变化。该例可将热流和可压缩效应从压缩拐角中独立出来。Larsson 课题组公开了 8 组 Ma=2–10 的 DNS 平均数据，覆盖冷壁、近绝热状态和加热壁，Reδ₂ 约 2000，采用 γ=1.4 的量热完全气体与幂律黏度。实际输入文件一并提供，定义和热壁比值应逐例读取。</w:t>
      </w:r>
      <w:hyperlink r:id="rId39">
        <w:r>
          <w:rPr>
            <w:color w:val="205580"/>
            <w:rFonts w:eastAsia="宋体" w:ascii="Times New Roman" w:hAnsi="Times New Roman"/>
          </w:rPr>
          <w:t>R23</w:t>
        </w:r>
      </w:hyperlink>
    </w:p>
    <w:p>
      <w:r>
        <w:rPr>
          <w:b/>
        </w:rPr>
        <w:t>参考数据及限制。</w:t>
      </w:r>
      <w:r>
        <w:rPr>
          <w:b w:val="0"/>
        </w:rPr>
        <w:t xml:space="preserve"> 数据含沿程壁面量、边界层厚度和下游法向剖面，比只有变换速度图更适合验证。页面推荐引用 Kumar–Larsson 2025。此次核实到数据入口，未完成该压缩包下载，故没有列出未经读取的 Cf、St 或壁温比数值。更早的 Volpiani 等 DNS 数据可作补充，应保持黏度律与归一化方式一致。</w:t>
      </w:r>
      <w:hyperlink r:id="rId40">
        <w:r>
          <w:rPr>
            <w:color w:val="205580"/>
            <w:rFonts w:eastAsia="宋体" w:ascii="Times New Roman" w:hAnsi="Times New Roman"/>
          </w:rPr>
          <w:t>R24</w:t>
        </w:r>
      </w:hyperlink>
    </w:p>
    <w:p>
      <w:r>
        <w:rPr>
          <w:b/>
        </w:rPr>
        <w:t>测试量与意义。</w:t>
      </w:r>
      <w:r>
        <w:rPr>
          <w:b w:val="0"/>
        </w:rPr>
        <w:t xml:space="preserve"> 比较 Reynolds 与 Favre 均值的差别、全部 Favre 应力、温度／密度／压力 RMS、壁面剪应力和热通量、湍流热通量、总焓剖面，以及速度变换后的偏差。Van Driest 变换不是所有强冷壁条件下的精确规律；只比较变换后的 U⁺，可能掩盖实际温度和热流错误。Stanton 数必须写明参考温差、焓差及热流正号，尤其不能在接近绝热温差为零时机械归一化。</w:t>
      </w:r>
    </w:p>
    <w:p>
      <w:r>
        <w:rPr>
          <w:b/>
        </w:rPr>
        <w:t>进展与实施判断。</w:t>
      </w:r>
      <w:r>
        <w:rPr>
          <w:b w:val="0"/>
        </w:rPr>
        <w:t xml:space="preserve"> 2025 年相关研究表明，壁面模型的动量精度与热流精度可能明显不同；引用它的 DNS 作为参考，不意味着本程序要加入该壁面模型。建议先复现 Ma≈2 的一组冷／暖壁配对工况，再进入激波算例。高马赫量热完全气体只是研究隔离条件，不能直接推广到有振动激发、化学反应的真实高焓流。</w:t>
      </w:r>
    </w:p>
    <w:p>
      <w:pPr>
        <w:pStyle w:val="Heading1"/>
      </w:pPr>
      <w:r>
        <w:t>6 自由剪切流</w:t>
      </w:r>
    </w:p>
    <w:p>
      <w:pPr>
        <w:pStyle w:val="Heading2"/>
      </w:pPr>
      <w:r>
        <w:t>C13 平面混合层</w:t>
      </w:r>
    </w:p>
    <w:p>
      <w:r>
        <w:rPr>
          <w:b/>
        </w:rPr>
        <w:t>背景与设置。</w:t>
      </w:r>
      <w:r>
        <w:rPr>
          <w:b w:val="0"/>
        </w:rPr>
        <w:t xml:space="preserve"> 两股不同速度流体之间的剪切层经历 Kelvin–Helmholtz 失稳、涡配对、三维破碎和自相似增长，是研究卷吸、混合与可压缩增长抑制的经典问题。应先区分时间发展与空间发展：前者通常流向和展向周期、层厚随时间增长；后者有分隔板／入口、层厚沿下游增长，不能直接互换增长率。</w:t>
      </w:r>
    </w:p>
    <w:p>
      <w:r>
        <w:rPr>
          <w:b/>
        </w:rPr>
        <w:t>DNS 与实验参考。</w:t>
      </w:r>
      <w:r>
        <w:rPr>
          <w:b w:val="0"/>
        </w:rPr>
        <w:t xml:space="preserve"> Rogers–Moser 1994 的三个不可压缩 DNS 使用来自 Reθ=300 湍流边界层的初始速度场，并改变叠加的二维扰动；部分工况达到可视厚度雷诺数约 20000 的自相似阶段。强初始扰动改变了涡配对和统计演化。这一研究本身说明任意双曲正切均速加白噪声不等于复现其 DNS。本次仅核实论文配置与结果概要，未取得逐点统计数组。</w:t>
      </w:r>
      <w:hyperlink r:id="rId41">
        <w:r>
          <w:rPr>
            <w:color w:val="205580"/>
            <w:rFonts w:eastAsia="宋体" w:ascii="Times New Roman" w:hAnsi="Times New Roman"/>
          </w:rPr>
          <w:t>R25</w:t>
        </w:r>
      </w:hyperlink>
    </w:p>
    <w:p>
      <w:r>
        <w:rPr>
          <w:b/>
        </w:rPr>
        <w:t>可压缩扩展。</w:t>
      </w:r>
      <w:r>
        <w:rPr>
          <w:b w:val="0"/>
        </w:rPr>
        <w:t xml:space="preserve"> Papamoschou–Roshko 1988 的实验以不同气体和两侧马赫数研究增长率降低，涵盖两股来流 Ma 约 0.2–4。选取具体实验组时须同时给出速度比、密度比、温度、对流马赫数及厚度定义，不使用单一经验增长常数替代实验。对同种气体的简化工况，可用速度差除以两侧声速之和表征对流马赫数，但异密度、异气体的转换应服从原文定义。</w:t>
      </w:r>
      <w:hyperlink r:id="rId42">
        <w:r>
          <w:rPr>
            <w:color w:val="205580"/>
            <w:rFonts w:eastAsia="宋体" w:ascii="Times New Roman" w:hAnsi="Times New Roman"/>
          </w:rPr>
          <w:t>R26</w:t>
        </w:r>
      </w:hyperlink>
    </w:p>
    <w:p>
      <w:r>
        <w:rPr>
          <w:b/>
        </w:rPr>
        <w:t>测试量与意义。</w:t>
      </w:r>
      <w:r>
        <w:rPr>
          <w:b w:val="0"/>
        </w:rPr>
        <w:t xml:space="preserve"> 需比较动量厚度、涡量厚度、增长率、平均剖面、应力峰及预算、卷吸率、谱与跨层相关。若现有方程没有被动标量，先完成速度验证；不能将可视涡卷吸当作已经验证分子混合。它对剪切层人工耗散、入口扰动及远场反射尤其敏感，直接关联 SD7003 分离剪切层和射流计算。</w:t>
      </w:r>
    </w:p>
    <w:p>
      <w:r>
        <w:rPr>
          <w:b/>
        </w:rPr>
        <w:t>实施与进展。</w:t>
      </w:r>
      <w:r>
        <w:rPr>
          <w:b w:val="0"/>
        </w:rPr>
        <w:t xml:space="preserve"> 推荐先建立可重复的低马赫时间发展算例，使用平直结构网格和固定种子，再做空间发展及可压缩扩展。研究由可视大涡逐步转向自相似统计、初始条件记忆和可压缩预算；长时间或宽域是否达到相似状态，必须由增长率及无量纲剖面共同判断。</w:t>
      </w:r>
    </w:p>
    <w:p>
      <w:pPr>
        <w:pStyle w:val="Heading2"/>
      </w:pPr>
      <w:r>
        <w:t>C14 亚声速圆射流</w:t>
      </w:r>
    </w:p>
    <w:p>
      <w:r>
        <w:rPr>
          <w:b/>
        </w:rPr>
        <w:t>背景与配置。</w:t>
      </w:r>
      <w:r>
        <w:rPr>
          <w:b w:val="0"/>
        </w:rPr>
        <w:t xml:space="preserve"> 圆喷口下游有环形剪切层、势核、卷吸、三维涡破碎及自相似远场，并产生宽带噪声。Brès 等 2018 研究等温 Ma=0.9、以出口直径定义 </w:t>
      </w:r>
      <w:r>
        <w:rPr>
          <w:b w:val="0"/>
        </w:rPr>
        <w:t>Re</w:t>
      </w:r>
      <w:r>
        <w:rPr>
          <w:b w:val="0"/>
          <w:vertAlign w:val="subscript"/>
        </w:rPr>
        <w:t>D</w:t>
      </w:r>
      <w:r>
        <w:rPr>
          <w:b w:val="0"/>
        </w:rPr>
        <w:t>=10⁶ 的收缩加直管喷嘴，结合实验验证 LES，强调喷口边界层状态。其数值方法在喷嘴内使用壁面模型；不能把该网格直接用于无壁面模型计算而期待相同代价和精度。</w:t>
      </w:r>
      <w:hyperlink r:id="rId43">
        <w:r>
          <w:rPr>
            <w:color w:val="205580"/>
            <w:rFonts w:eastAsia="宋体" w:ascii="Times New Roman" w:hAnsi="Times New Roman"/>
          </w:rPr>
          <w:t>R27</w:t>
        </w:r>
      </w:hyperlink>
    </w:p>
    <w:p>
      <w:r>
        <w:rPr>
          <w:b/>
        </w:rPr>
        <w:t>参考结果及获取方式。</w:t>
      </w:r>
      <w:r>
        <w:rPr>
          <w:b w:val="0"/>
        </w:rPr>
        <w:t xml:space="preserve"> 参考包含 PIV／速度测量和声学结果，应优先提取同一喷口状态下的中心线速度衰减、径向均值及应力、势核长度和声压谱。原论文全文已保存，但本次未获得这些量的完整原始数组，因此不指定未经核实的通用势核长度、衰减常数或声压级。该高 Re 工况的 LES 是辅助解释，实验才是独立物理验证依据。</w:t>
      </w:r>
      <w:hyperlink r:id="rId44">
        <w:r>
          <w:rPr>
            <w:color w:val="205580"/>
            <w:rFonts w:eastAsia="宋体" w:ascii="Times New Roman" w:hAnsi="Times New Roman"/>
          </w:rPr>
          <w:t>作者公开全文</w:t>
        </w:r>
      </w:hyperlink>
    </w:p>
    <w:p>
      <w:r>
        <w:rPr>
          <w:b/>
        </w:rPr>
        <w:t>测试量与意义。</w:t>
      </w:r>
      <w:r>
        <w:rPr>
          <w:b w:val="0"/>
        </w:rPr>
        <w:t xml:space="preserve"> 除平均速度和扩张率，还需入口边界层厚度、形状因子、湍流强度、环向模态能量、两点相关、近场压力谱；若验证噪声，还要统一测角、距离、频率归一化和声学传播处理。层流喷口与湍流喷口可能得到截然不同的初始卷起、混合及噪声，仅匹配 Ma 和 Re 不够。</w:t>
      </w:r>
    </w:p>
    <w:p>
      <w:r>
        <w:rPr>
          <w:b/>
        </w:rPr>
        <w:t>网格与进展。</w:t>
      </w:r>
      <w:r>
        <w:rPr>
          <w:b w:val="0"/>
        </w:rPr>
        <w:t xml:space="preserve"> 多块结构网格可用中心方块加环形块，沿剪切层与势核加密，并配置足够宽远场与缓冲区。小尺度湍流及声波对数值耗散的要求不同，应分别验证。研究已由单点谱扩展到波包、相干结构及谱 POD；这些分析应建立在足够长且均匀采样的压力／速度时序上。对当前无壁面模型程序，圆射流宜列为中后期目标，先解决可信入口和出流声反射。</w:t>
      </w:r>
    </w:p>
    <w:p>
      <w:pPr>
        <w:pStyle w:val="Heading1"/>
      </w:pPr>
      <w:r>
        <w:t>7 分离再附与钝体尾迹</w:t>
      </w:r>
    </w:p>
    <w:p>
      <w:pPr>
        <w:pStyle w:val="Heading2"/>
      </w:pPr>
      <w:r>
        <w:t>C15 后台阶流动</w:t>
      </w:r>
    </w:p>
    <w:p>
      <w:r>
        <w:rPr>
          <w:b/>
        </w:rPr>
        <w:t>背景与配置。</w:t>
      </w:r>
      <w:r>
        <w:rPr>
          <w:b w:val="0"/>
        </w:rPr>
        <w:t xml:space="preserve"> 后台阶把分离位置固定在几何突变处，减少光滑表面分离点的不确定性，可集中检验剪切层增长、再附、角区回流及恢复。应分成两个独立基准：Le–Moin–Kim 1997 DNS 为 Reₕ=5100、扩张比 1.20；Driver–Seegmiller 实验经 TMR 修正后的 Reₕ 约 36000，上游 Reθ 约 5000，Ma 约 0.128、入口边界层厚度约 1.5h。不要把后者继续标成早期部分资料中的 50000。</w:t>
      </w:r>
      <w:hyperlink r:id="rId45">
        <w:r>
          <w:rPr>
            <w:color w:val="205580"/>
            <w:rFonts w:eastAsia="宋体" w:ascii="Times New Roman" w:hAnsi="Times New Roman"/>
          </w:rPr>
          <w:t>R28</w:t>
        </w:r>
      </w:hyperlink>
      <w:r>
        <w:rPr>
          <w:b w:val="0"/>
        </w:rPr>
        <w:t xml:space="preserve"> </w:t>
      </w:r>
      <w:hyperlink r:id="rId46">
        <w:r>
          <w:rPr>
            <w:color w:val="205580"/>
            <w:rFonts w:eastAsia="宋体" w:ascii="Times New Roman" w:hAnsi="Times New Roman"/>
          </w:rPr>
          <w:t>R29</w:t>
        </w:r>
      </w:hyperlink>
    </w:p>
    <w:p>
      <w:r>
        <w:rPr>
          <w:b/>
        </w:rPr>
        <w:t>可核验结果。</w:t>
      </w:r>
      <w:r>
        <w:rPr>
          <w:b w:val="0"/>
        </w:rPr>
        <w:t xml:space="preserve"> 低 Re DNS 的平均再附长度为 6.28h，并报告约 0.06 的剪切层特征 Strouhal 数。高 Re 实验的再附位置为 xᵣ/h=6.26±0.10，来自壁面摩擦测量解释。两值接近不代表应力、近壁回流和入口条件相同。TMR 公开 Cp、Cf 及多个速度／应力剖面；本次已经下载 Cp 和带不确定度的 Cf 表。稀疏 Cf 点的简单线性插值约得 6.279，不应取代作者给出的 6.26±0.10。</w:t>
      </w:r>
      <w:hyperlink r:id="rId45">
        <w:r>
          <w:rPr>
            <w:color w:val="205580"/>
            <w:rFonts w:eastAsia="宋体" w:ascii="Times New Roman" w:hAnsi="Times New Roman"/>
          </w:rPr>
          <w:t>R28</w:t>
        </w:r>
      </w:hyperlink>
      <w:r>
        <w:rPr>
          <w:b w:val="0"/>
        </w:rPr>
        <w:t xml:space="preserve"> </w:t>
      </w:r>
      <w:hyperlink r:id="rId46">
        <w:r>
          <w:rPr>
            <w:color w:val="205580"/>
            <w:rFonts w:eastAsia="宋体" w:ascii="Times New Roman" w:hAnsi="Times New Roman"/>
          </w:rPr>
          <w:t>R29</w:t>
        </w:r>
      </w:hyperlink>
    </w:p>
    <w:p>
      <w:r>
        <w:rPr>
          <w:b/>
        </w:rPr>
        <w:t>测试量与意义。</w:t>
      </w:r>
      <w:r>
        <w:rPr>
          <w:b w:val="0"/>
        </w:rPr>
        <w:t xml:space="preserve"> 比较再附长度、负 Cf 峰、压力恢复、回流区速度和应力、剪切层厚度及 x/h=1、4、6、10 等剖面。低 Re DNS 表明再附后相当远处仍未完全恢复普通平板壁律；不应把远下游偏离对数律一概判为错误。对 ILES，后台阶比周期山更敏感于入口湍流是否具有正确长度尺度。</w:t>
      </w:r>
    </w:p>
    <w:p>
      <w:r>
        <w:rPr>
          <w:b/>
        </w:rPr>
        <w:t>结构网格与进展。</w:t>
      </w:r>
      <w:r>
        <w:rPr>
          <w:b w:val="0"/>
        </w:rPr>
        <w:t xml:space="preserve"> 可用台阶上下游 H 型块实现，是适合当前程序的新增分离基准。首轮推荐 Reₕ=5100 的 DNS 路线，待前驱边界层成熟后再挑战实验高 Re 工况。顶壁角度、无滑移／滑移条件和扩张比必须匹配具体实验；TMR 的二维 RANS 设置不能直接充当三维 ILES 的入口与展宽配置。</w:t>
      </w:r>
    </w:p>
    <w:p>
      <w:pPr>
        <w:pStyle w:val="Heading2"/>
      </w:pPr>
      <w:r>
        <w:t>C16 NASA 壁面隆起与光滑表面分离</w:t>
      </w:r>
    </w:p>
    <w:p>
      <w:r>
        <w:rPr>
          <w:b/>
        </w:rPr>
        <w:t>背景与实验设计。</w:t>
      </w:r>
      <w:r>
        <w:rPr>
          <w:b w:val="0"/>
        </w:rPr>
        <w:t xml:space="preserve"> NASA wall-mounted hump 采用 Glauert–Goldschmied 型隆起，先加速后形成强逆压梯度，后缘附近发生分离。基线无流动控制工况弦长约 420 mm，U∞≈34.6 m/s、Ma≈0.1；TMR 使用 </w:t>
      </w:r>
      <w:r>
        <w:rPr>
          <w:b w:val="0"/>
        </w:rPr>
        <w:t>Re</w:t>
      </w:r>
      <w:r>
        <w:rPr>
          <w:b w:val="0"/>
          <w:vertAlign w:val="subscript"/>
        </w:rPr>
        <w:t>c</w:t>
      </w:r>
      <w:r>
        <w:rPr>
          <w:b w:val="0"/>
        </w:rPr>
        <w:t>=936000，Greenblatt 等论文报告约 929000。入口 x/c=−2.14 附近边界层厚度约 0.08c。端板和风洞堵塞效应会改变外缘压力，应采用对应几何或经说明的等效顶部轮廓。</w:t>
      </w:r>
      <w:hyperlink r:id="rId47">
        <w:r>
          <w:rPr>
            <w:color w:val="205580"/>
            <w:rFonts w:eastAsia="宋体" w:ascii="Times New Roman" w:hAnsi="Times New Roman"/>
          </w:rPr>
          <w:t>R30</w:t>
        </w:r>
      </w:hyperlink>
    </w:p>
    <w:p>
      <w:r>
        <w:rPr>
          <w:b/>
        </w:rPr>
        <w:t>实验数据。</w:t>
      </w:r>
      <w:r>
        <w:rPr>
          <w:b w:val="0"/>
        </w:rPr>
        <w:t xml:space="preserve"> TMR 提供无控制的 Cp、Cf、入口剖面、下游速度／应力及 PIV。已下载 Cf 表的两个原始记录为：x/c=1.09，Cf=−0.00038、不确定度 0.00004；x/c=1.15，Cf=0.00049、不确定度 0.00004。两点线性插值给出再附约 1.116c，仅为当前表的派生估计。分离区前缘附近测点较稀，不能用跨越很长距离的两点线性插值伪造精确分离点。</w:t>
      </w:r>
      <w:hyperlink r:id="rId48">
        <w:r>
          <w:rPr>
            <w:color w:val="205580"/>
            <w:rFonts w:eastAsia="宋体" w:ascii="Times New Roman" w:hAnsi="Times New Roman"/>
          </w:rPr>
          <w:t>原始 Cf 数据</w:t>
        </w:r>
      </w:hyperlink>
    </w:p>
    <w:p>
      <w:r>
        <w:rPr>
          <w:b/>
        </w:rPr>
        <w:t>测试量与意义。</w:t>
      </w:r>
      <w:r>
        <w:rPr>
          <w:b w:val="0"/>
        </w:rPr>
        <w:t xml:space="preserve"> 比较 Cp、带误差条的 Cf、再附、剪切层中心位置、回流强度和 x/c=0.65、0.8、0.9、1.0、1.1、1.2、1.3 的剖面。与后台阶不同，本例分离由压力梯度与湍流共同决定；它更直接考查应力对分离泡长度的反馈。压力场吻合而再附错误，通常说明仅捕捉了外流几何效应。</w:t>
      </w:r>
    </w:p>
    <w:p>
      <w:r>
        <w:rPr>
          <w:b/>
        </w:rPr>
        <w:t>实施与新进展。</w:t>
      </w:r>
      <w:r>
        <w:rPr>
          <w:b w:val="0"/>
        </w:rPr>
        <w:t xml:space="preserve"> 曲面挤出的多块结构网格可实现该例，但三维展宽、风洞顶部及入口发展不能省略。它的 Re 较高，当前无壁面模型路线成本较大。2025–2026 年 Gaussian bump 研究进一步考查光滑分离的三维性、低频运动和侧壁约束；作者预印本指出有限展宽结构可能解释部分实验／计算差异。因此，小展宽周期计算不一定代表有限风洞，即使中心线均值接近。</w:t>
      </w:r>
      <w:hyperlink r:id="rId49">
        <w:r>
          <w:rPr>
            <w:color w:val="205580"/>
            <w:rFonts w:eastAsia="宋体" w:ascii="Times New Roman" w:hAnsi="Times New Roman"/>
          </w:rPr>
          <w:t>R31</w:t>
        </w:r>
      </w:hyperlink>
      <w:r>
        <w:rPr>
          <w:b w:val="0"/>
        </w:rPr>
        <w:t xml:space="preserve"> </w:t>
      </w:r>
      <w:hyperlink r:id="rId50">
        <w:r>
          <w:rPr>
            <w:color w:val="205580"/>
            <w:rFonts w:eastAsia="宋体" w:ascii="Times New Roman" w:hAnsi="Times New Roman"/>
          </w:rPr>
          <w:t>R32</w:t>
        </w:r>
      </w:hyperlink>
    </w:p>
    <w:p>
      <w:pPr>
        <w:pStyle w:val="Heading2"/>
      </w:pPr>
      <w:r>
        <w:t>C17 雷诺数 3900 圆柱绕流</w:t>
      </w:r>
    </w:p>
    <w:p>
      <w:r>
        <w:rPr>
          <w:b/>
        </w:rPr>
        <w:t>背景与实验设计。</w:t>
      </w:r>
      <w:r>
        <w:rPr>
          <w:b w:val="0"/>
        </w:rPr>
        <w:t xml:space="preserve"> </w:t>
      </w:r>
      <w:r>
        <w:rPr>
          <w:b w:val="0"/>
        </w:rPr>
        <w:t>Re</w:t>
      </w:r>
      <w:r>
        <w:rPr>
          <w:b w:val="0"/>
          <w:vertAlign w:val="subscript"/>
        </w:rPr>
        <w:t>D</w:t>
      </w:r>
      <w:r>
        <w:rPr>
          <w:b w:val="0"/>
        </w:rPr>
        <w:t>=3900 位于亚临界圆柱绕流区，壁面边界层与分离剪切层的转捩、周期脱涡和三维尾迹相互作用。Parnaudeau 等 2008 同时开展热丝、PIV 和 LES。其实验具有有限阻塞和长径比；二维计算无法代表这里的三维尾迹湍流，LES 部分也不能误称 DNS。</w:t>
      </w:r>
      <w:hyperlink r:id="rId51">
        <w:r>
          <w:rPr>
            <w:color w:val="205580"/>
            <w:rFonts w:eastAsia="宋体" w:ascii="Times New Roman" w:hAnsi="Times New Roman"/>
          </w:rPr>
          <w:t>R33</w:t>
        </w:r>
      </w:hyperlink>
    </w:p>
    <w:p>
      <w:r>
        <w:rPr>
          <w:b/>
        </w:rPr>
        <w:t>原论文表值。</w:t>
      </w:r>
      <w:r>
        <w:rPr>
          <w:b w:val="0"/>
        </w:rPr>
        <w:t xml:space="preserve"> 该论文表 II 的热丝测量 St=0.208±0.002；PIV 回流区长度 Lᵣ/D=1.51，中心线最小平均速度 Umin/U꜀=−0.34。论文高分辨率 LES 分别给出 St=0.208±0.001、Lᵣ/D=1.56、Umin/U꜀=−0.26，应单独列为数值对照。Lᵣ 从圆柱后表面起算，而部分图的 x 从圆心起算，比较时需处理 0.5D 的坐标差。</w:t>
      </w:r>
      <w:hyperlink r:id="rId52">
        <w:r>
          <w:rPr>
            <w:color w:val="205580"/>
            <w:rFonts w:eastAsia="宋体" w:ascii="Times New Roman" w:hAnsi="Times New Roman"/>
          </w:rPr>
          <w:t>作者公开论文</w:t>
        </w:r>
      </w:hyperlink>
    </w:p>
    <w:p>
      <w:r>
        <w:rPr>
          <w:b/>
        </w:rPr>
        <w:t>测试量与意义。</w:t>
      </w:r>
      <w:r>
        <w:rPr>
          <w:b w:val="0"/>
        </w:rPr>
        <w:t xml:space="preserve"> 需要升阻力均值／RMS、St、表面 Cp、分离角、尾流回流长度、中心线速度、横向剖面与应力、展向相关和速度谱。St 正确但应力和回流长度错误仍可能发生，不能只用脱涡频率一个数判定通过。对于曲面 WCNS，该例还暴露网格非正交、尾迹块接口与数值扰动引起的转捩差异。</w:t>
      </w:r>
    </w:p>
    <w:p>
      <w:r>
        <w:rPr>
          <w:b/>
        </w:rPr>
        <w:t>网格与进展。</w:t>
      </w:r>
      <w:r>
        <w:rPr>
          <w:b w:val="0"/>
        </w:rPr>
        <w:t xml:space="preserve"> 可采用贴体 O 型近场与尾迹块；展宽及边界条件应跟选定文献保持一致并做加宽检查。已有文献对紧邻圆柱的统计存在显著差别，来源包括入口扰动、PIV 空间分辨率、阻塞和统计长度。因此本报告推荐以一个设施的成套数据为主，不混合不同实验中最容易吻合的指标。流动控制等后续研究也应先通过无控制基线。</w:t>
      </w:r>
    </w:p>
    <w:p>
      <w:pPr>
        <w:pStyle w:val="Heading1"/>
      </w:pPr>
      <w:r>
        <w:t>8 激波与湍流相互作用</w:t>
      </w:r>
    </w:p>
    <w:p>
      <w:pPr>
        <w:pStyle w:val="Heading2"/>
      </w:pPr>
      <w:r>
        <w:t>C18 平面激波与均匀各向同性湍流</w:t>
      </w:r>
    </w:p>
    <w:p>
      <w:r>
        <w:rPr>
          <w:b/>
        </w:rPr>
        <w:t>背景与配置。</w:t>
      </w:r>
      <w:r>
        <w:rPr>
          <w:b w:val="0"/>
        </w:rPr>
        <w:t xml:space="preserve"> 让来流湍流穿过平均平面激波，在没有壁面分离、入口边界层和复杂几何的条件下检验激波后湍动能放大、各向异性、声学及熵扰动。Larsson–Lele 2009 的 DNS 研究包含上游 Reλ≈40、平均激波马赫数约 1.3–6、湍流马赫数约 0.16–0.38 的系列，后续研究进一步考查强度与雷诺数影响。每个系列工况应独立指定，不从这些范围自由拼接参数。</w:t>
      </w:r>
      <w:hyperlink r:id="rId53">
        <w:r>
          <w:rPr>
            <w:color w:val="205580"/>
            <w:rFonts w:eastAsia="宋体" w:ascii="Times New Roman" w:hAnsi="Times New Roman"/>
          </w:rPr>
          <w:t>R34</w:t>
        </w:r>
      </w:hyperlink>
      <w:r>
        <w:rPr>
          <w:b w:val="0"/>
        </w:rPr>
        <w:t xml:space="preserve"> </w:t>
      </w:r>
      <w:hyperlink r:id="rId54">
        <w:r>
          <w:rPr>
            <w:color w:val="205580"/>
            <w:rFonts w:eastAsia="宋体" w:ascii="Times New Roman" w:hAnsi="Times New Roman"/>
          </w:rPr>
          <w:t>R35</w:t>
        </w:r>
      </w:hyperlink>
    </w:p>
    <w:p>
      <w:r>
        <w:rPr>
          <w:b/>
        </w:rPr>
        <w:t>数据与统计定义。</w:t>
      </w:r>
      <w:r>
        <w:rPr>
          <w:b w:val="0"/>
        </w:rPr>
        <w:t xml:space="preserve"> 作者公开 ASCII 平均数据压缩包，含普通均值、Favre 均值及应力。页面明确应力单位为速度平方，没有再乘密度，且由有限三维快照平均得到，仍有可见采样噪声。本次核实下载入口，但压缩包下载未成功，故不虚列湍动能放大倍数。正式复现前应锁定一个数据文件并读取头部，确认激波位置、上游谱和归一化。</w:t>
      </w:r>
      <w:hyperlink r:id="rId39">
        <w:r>
          <w:rPr>
            <w:color w:val="205580"/>
            <w:rFonts w:eastAsia="宋体" w:ascii="Times New Roman" w:hAnsi="Times New Roman"/>
          </w:rPr>
          <w:t>R23</w:t>
        </w:r>
      </w:hyperlink>
    </w:p>
    <w:p>
      <w:r>
        <w:rPr>
          <w:b/>
        </w:rPr>
        <w:t>测试量与 ILES 意义。</w:t>
      </w:r>
      <w:r>
        <w:rPr>
          <w:b w:val="0"/>
        </w:rPr>
        <w:t xml:space="preserve"> 先用无扰动激波检查 Rankine–Hugoniot 跳跃及守恒，再检查湍流相互作用。湍流平均跳跃还包含脉动输运的贡献，不应强制与无湍流关系完全相同。主要比较三个法向应力、湍动能增益、各向异性、密度／压力 RMS、激波起伏与下游恢复谱。同步输出激波离散厚度和传感器，检查激波捕捉耗散是否污染上下游涡结构。</w:t>
      </w:r>
    </w:p>
    <w:p>
      <w:r>
        <w:rPr>
          <w:b/>
        </w:rPr>
        <w:t>实施与进展。</w:t>
      </w:r>
      <w:r>
        <w:rPr>
          <w:b w:val="0"/>
        </w:rPr>
        <w:t xml:space="preserve"> 计算域可采用激波法向开边界、横向周期的笛卡尔分块网格，避免曲面和壁面干扰。难点在可信且可持续的上游湍流供给、非反射边界和平均激波位置控制。它非常适合在压缩拐角之前使用：如果此例已经严重压低激波后的旋度与应力，复杂拐角中的误差就不宜仅归因于近壁网格。</w:t>
      </w:r>
    </w:p>
    <w:p>
      <w:pPr>
        <w:pStyle w:val="Heading2"/>
      </w:pPr>
      <w:r>
        <w:t>C19 斜激波与湍流平板边界层</w:t>
      </w:r>
    </w:p>
    <w:p>
      <w:r>
        <w:rPr>
          <w:b/>
        </w:rPr>
        <w:t>背景与配置。</w:t>
      </w:r>
      <w:r>
        <w:rPr>
          <w:b w:val="0"/>
        </w:rPr>
        <w:t xml:space="preserve"> 外部斜激波照射平板边界层，可在几何平直的壁面上研究分离、反射激波和低频运动。Bernardini 等 2023 DNS 采用 Ma=2.28、激波发生器转角 8°、域大小 70δ₀×12δ₀×6.5δ₀。无滑移壁的温度设为上游恢复温度，入口使用湍流生成，上边界局部施加激波跳跃。这里的恒定恢复温度壁不能在代码中不加核对地换成零热流壁。</w:t>
      </w:r>
      <w:hyperlink r:id="rId55">
        <w:r>
          <w:rPr>
            <w:color w:val="205580"/>
            <w:rFonts w:eastAsia="宋体" w:ascii="Times New Roman" w:hAnsi="Times New Roman"/>
          </w:rPr>
          <w:t>R36</w:t>
        </w:r>
      </w:hyperlink>
    </w:p>
    <w:p>
      <w:r>
        <w:rPr>
          <w:b/>
        </w:rPr>
        <w:t>可核验结果。</w:t>
      </w:r>
      <w:r>
        <w:rPr>
          <w:b w:val="0"/>
        </w:rPr>
        <w:t xml:space="preserve"> 原文表 1 的 DNS 上游 Reθ=6882、以壁面黏度定义的 Reδ₂≈3900、Reτ≈1100、Cf=1.98×10⁻³；对照实验 Reθ=5100，并非完全相同雷诺数。表 2 给出 DNS 相互作用长度 Lint/δ₀=3.30、分离尺度 Lsep/δ₀=2.16；实验相应为 4.18 和约 3.40。后者部分来自长度换算，不能视作与 DNS 同精度的直接测量。文中低频峰约 fLint/U∞=0.04。</w:t>
      </w:r>
      <w:hyperlink r:id="rId55">
        <w:r>
          <w:rPr>
            <w:color w:val="205580"/>
            <w:rFonts w:eastAsia="宋体" w:ascii="Times New Roman" w:hAnsi="Times New Roman"/>
          </w:rPr>
          <w:t>R36</w:t>
        </w:r>
      </w:hyperlink>
    </w:p>
    <w:p>
      <w:r>
        <w:rPr>
          <w:b/>
        </w:rPr>
        <w:t>定义与测试意义。</w:t>
      </w:r>
      <w:r>
        <w:rPr>
          <w:b w:val="0"/>
        </w:rPr>
        <w:t xml:space="preserve"> 原文对分离尺度采用包含间歇分离区的特定定义，不完全等于“平均 Cf 负值区间长度”；必须先统一判据。比较入口均值／应力、Cp、Cf、压力 RMS、平均及瞬时分离面积、激波足 PDF、频谱、跨展向相干和条件平均。已发表较长时间 DNS 显示低频活动具有间歇性，用很短时窗的单个 FFT 峰值评价误差并不可靠。</w:t>
      </w:r>
    </w:p>
    <w:p>
      <w:r>
        <w:rPr>
          <w:b/>
        </w:rPr>
        <w:t>实施与进展。</w:t>
      </w:r>
      <w:r>
        <w:rPr>
          <w:b w:val="0"/>
        </w:rPr>
        <w:t xml:space="preserve"> 该例以平直网格隔离激波入射条件，适合作为压缩拐角的交叉检查。后续微型斜坡控制研究增加了三维涡和侧向调制，应先完成无控制基线。当前无壁面模型程序宜选择较低 Re、数据完整的同系列条件启动，再向上述 Reτ≈1100 工况推进；本报告没有把该高分辨率 DNS 网格数量作为可在本机长算的建议。</w:t>
      </w:r>
    </w:p>
    <w:p>
      <w:pPr>
        <w:pStyle w:val="Heading1"/>
      </w:pPr>
      <w:r>
        <w:t>9 怎样用这些算例验证粗网格 ILES</w:t>
      </w:r>
    </w:p>
    <w:p>
      <w:pPr>
        <w:pStyle w:val="Heading2"/>
      </w:pPr>
      <w:r>
        <w:t>9 1 先定义比较对象</w:t>
      </w:r>
    </w:p>
    <w:p>
      <w:r>
        <w:rPr>
          <w:b w:val="0"/>
        </w:rPr>
        <w:t>ILES 的有效耗散由重构、Riemann 通量、低马赫修正、传感器、时间推进、网格及边界共同决定。切换其中任一项，都可能改变隐式模型。因此一次验证记录应包括程序版本／源码哈希、完整数值选项、网格哈希、编译器、并行分区和精度；不能只写“turbulence.model=none”。不同算例可有合理的激波开关，但需要在事前确定使用原则，避免逐个调节耗散直到匹配参考。</w:t>
      </w:r>
    </w:p>
    <w:p>
      <w:r>
        <w:rPr>
          <w:b w:val="0"/>
        </w:rPr>
        <w:t>DNS 的全部小尺度方差不等于粗网格上的解析方差。验证二阶统计时，建议同时提供两种比较：与未滤波 DNS 比较总量偏差；在获得三维场时，对 DNS 施加明确的空间滤波或单元体积平均，再比较解析尺度统计。对于有限体积量，参考取样应考虑体积平均；对曲线网格，应说明物理空间的滤波与插值。ILES 没有唯一已知的显式滤波核，不应把任意一次滤波后的吻合当成严格证明。</w:t>
      </w:r>
    </w:p>
    <w:p>
      <w:r>
        <w:rPr>
          <w:b w:val="0"/>
        </w:rPr>
        <w:t>实验的 PIV 窗口、热丝长度和传感器带宽也起滤波作用。应保留测量分辨率，尽量让计算统计与实验观测算子一致。仅能取得论文曲线时，数字化误差和原实验误差分别保留；图像坐标的多位小数不能变成物理精度。</w:t>
      </w:r>
    </w:p>
    <w:p>
      <w:pPr>
        <w:pStyle w:val="Heading2"/>
      </w:pPr>
      <w:r>
        <w:t>9 2 统一统计定义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520"/>
        <w:gridCol w:w="2664"/>
        <w:gridCol w:w="4464"/>
      </w:tblGrid>
      <w:tr>
        <w:trPr>
          <w:cantSplit/>
          <w:tblHeader/>
        </w:trPr>
        <w:tc>
          <w:tcPr>
            <w:tcW w:type="dxa" w:w="2520"/>
            <w:vAlign w:val="center"/>
            <w:shd w:fill="DEE7EF"/>
          </w:tcPr>
          <w:p>
            <w:pPr>
              <w:spacing w:after="0" w:line="264" w:lineRule="auto"/>
              <w:jc w:val="center"/>
            </w:pPr>
            <w:r>
              <w:rPr>
                <w:b/>
                <w:sz w:val="20"/>
              </w:rPr>
              <w:t>统计项</w:t>
            </w:r>
          </w:p>
        </w:tc>
        <w:tc>
          <w:tcPr>
            <w:tcW w:type="dxa" w:w="2664"/>
            <w:vAlign w:val="center"/>
            <w:shd w:fill="DEE7EF"/>
          </w:tcPr>
          <w:p>
            <w:pPr>
              <w:spacing w:after="0" w:line="264" w:lineRule="auto"/>
              <w:jc w:val="left"/>
            </w:pPr>
            <w:r>
              <w:rPr>
                <w:b/>
                <w:sz w:val="20"/>
              </w:rPr>
              <w:t>应保存的内容</w:t>
            </w:r>
          </w:p>
        </w:tc>
        <w:tc>
          <w:tcPr>
            <w:tcW w:type="dxa" w:w="4464"/>
            <w:vAlign w:val="center"/>
            <w:shd w:fill="DEE7EF"/>
          </w:tcPr>
          <w:p>
            <w:pPr>
              <w:spacing w:after="0" w:line="264" w:lineRule="auto"/>
              <w:jc w:val="left"/>
            </w:pPr>
            <w:r>
              <w:rPr>
                <w:b/>
                <w:sz w:val="20"/>
              </w:rPr>
              <w:t>容易混淆的地方</w:t>
            </w:r>
          </w:p>
        </w:tc>
      </w:tr>
      <w:tr>
        <w:trPr>
          <w:cantSplit/>
        </w:trPr>
        <w:tc>
          <w:tcPr>
            <w:tcW w:type="dxa" w:w="2520"/>
            <w:vAlign w:val="center"/>
          </w:tcPr>
          <w:p>
            <w:pPr>
              <w:spacing w:after="0" w:line="264" w:lineRule="auto"/>
              <w:jc w:val="center"/>
            </w:pPr>
            <w:r>
              <w:rPr>
                <w:b w:val="0"/>
                <w:sz w:val="20"/>
              </w:rPr>
              <w:t>时间平均</w:t>
            </w:r>
          </w:p>
        </w:tc>
        <w:tc>
          <w:tcPr>
            <w:tcW w:type="dxa" w:w="2664"/>
            <w:vAlign w:val="center"/>
          </w:tcPr>
          <w:p>
            <w:pPr>
              <w:spacing w:after="0" w:line="264" w:lineRule="auto"/>
              <w:jc w:val="left"/>
            </w:pPr>
            <w:r>
              <w:rPr>
                <w:b w:val="0"/>
                <w:sz w:val="20"/>
              </w:rPr>
              <w:t>开始时刻、累计物理时间、样本数</w:t>
            </w:r>
          </w:p>
        </w:tc>
        <w:tc>
          <w:tcPr>
            <w:tcW w:type="dxa" w:w="4464"/>
            <w:vAlign w:val="center"/>
          </w:tcPr>
          <w:p>
            <w:pPr>
              <w:spacing w:after="0" w:line="264" w:lineRule="auto"/>
              <w:jc w:val="left"/>
            </w:pPr>
            <w:r>
              <w:rPr>
                <w:b w:val="0"/>
                <w:sz w:val="20"/>
              </w:rPr>
              <w:t>变时间步应按实际 dt 加权</w:t>
            </w:r>
          </w:p>
        </w:tc>
      </w:tr>
      <w:tr>
        <w:trPr>
          <w:cantSplit/>
        </w:trPr>
        <w:tc>
          <w:tcPr>
            <w:tcW w:type="dxa" w:w="2520"/>
            <w:vAlign w:val="center"/>
          </w:tcPr>
          <w:p>
            <w:pPr>
              <w:spacing w:after="0" w:line="264" w:lineRule="auto"/>
              <w:jc w:val="center"/>
            </w:pPr>
            <w:r>
              <w:rPr>
                <w:b w:val="0"/>
                <w:sz w:val="20"/>
              </w:rPr>
              <w:t>普通应力</w:t>
            </w:r>
          </w:p>
        </w:tc>
        <w:tc>
          <w:tcPr>
            <w:tcW w:type="dxa" w:w="2664"/>
            <w:vAlign w:val="center"/>
          </w:tcPr>
          <w:p>
            <w:pPr>
              <w:spacing w:after="0" w:line="264" w:lineRule="auto"/>
              <w:jc w:val="left"/>
            </w:pPr>
            <w:r>
              <w:rPr>
                <w:b w:val="0"/>
                <w:sz w:val="20"/>
              </w:rPr>
              <w:t>一阶矩和全部六个速度二阶矩</w:t>
            </w:r>
          </w:p>
        </w:tc>
        <w:tc>
          <w:tcPr>
            <w:tcW w:type="dxa" w:w="4464"/>
            <w:vAlign w:val="center"/>
          </w:tcPr>
          <w:p>
            <w:pPr>
              <w:spacing w:after="0" w:line="264" w:lineRule="auto"/>
              <w:jc w:val="left"/>
            </w:pPr>
            <w:r>
              <w:rPr>
                <w:b w:val="0"/>
                <w:sz w:val="20"/>
              </w:rPr>
              <w:t>先局部乘积后平均</w:t>
            </w:r>
          </w:p>
        </w:tc>
      </w:tr>
      <w:tr>
        <w:trPr>
          <w:cantSplit/>
        </w:trPr>
        <w:tc>
          <w:tcPr>
            <w:tcW w:type="dxa" w:w="2520"/>
            <w:vAlign w:val="center"/>
          </w:tcPr>
          <w:p>
            <w:pPr>
              <w:spacing w:after="0" w:line="264" w:lineRule="auto"/>
              <w:jc w:val="center"/>
            </w:pPr>
            <w:r>
              <w:rPr>
                <w:b w:val="0"/>
                <w:sz w:val="20"/>
              </w:rPr>
              <w:t>Favre 应力</w:t>
            </w:r>
          </w:p>
        </w:tc>
        <w:tc>
          <w:tcPr>
            <w:tcW w:type="dxa" w:w="2664"/>
            <w:vAlign w:val="center"/>
          </w:tcPr>
          <w:p>
            <w:pPr>
              <w:spacing w:after="0" w:line="264" w:lineRule="auto"/>
              <w:jc w:val="left"/>
            </w:pPr>
            <w:r>
              <w:rPr>
                <w:b w:val="0"/>
                <w:sz w:val="20"/>
              </w:rPr>
              <w:t>密度、一阶质量通量、密度加权二阶矩</w:t>
            </w:r>
          </w:p>
        </w:tc>
        <w:tc>
          <w:tcPr>
            <w:tcW w:type="dxa" w:w="4464"/>
            <w:vAlign w:val="center"/>
          </w:tcPr>
          <w:p>
            <w:pPr>
              <w:spacing w:after="0" w:line="264" w:lineRule="auto"/>
              <w:jc w:val="left"/>
            </w:pPr>
            <w:r>
              <w:rPr>
                <w:b w:val="0"/>
                <w:sz w:val="20"/>
              </w:rPr>
              <w:t>与普通 Reynolds 应力分开</w:t>
            </w:r>
          </w:p>
        </w:tc>
      </w:tr>
      <w:tr>
        <w:trPr>
          <w:cantSplit/>
        </w:trPr>
        <w:tc>
          <w:tcPr>
            <w:tcW w:type="dxa" w:w="2520"/>
            <w:vAlign w:val="center"/>
          </w:tcPr>
          <w:p>
            <w:pPr>
              <w:spacing w:after="0" w:line="264" w:lineRule="auto"/>
              <w:jc w:val="center"/>
            </w:pPr>
            <w:r>
              <w:rPr>
                <w:b w:val="0"/>
                <w:sz w:val="20"/>
              </w:rPr>
              <w:t>壁面量</w:t>
            </w:r>
          </w:p>
        </w:tc>
        <w:tc>
          <w:tcPr>
            <w:tcW w:type="dxa" w:w="2664"/>
            <w:vAlign w:val="center"/>
          </w:tcPr>
          <w:p>
            <w:pPr>
              <w:spacing w:after="0" w:line="264" w:lineRule="auto"/>
              <w:jc w:val="left"/>
            </w:pPr>
            <w:r>
              <w:rPr>
                <w:b w:val="0"/>
                <w:sz w:val="20"/>
              </w:rPr>
              <w:t>压力、切向剪应力、法向热流和壁温</w:t>
            </w:r>
          </w:p>
        </w:tc>
        <w:tc>
          <w:tcPr>
            <w:tcW w:type="dxa" w:w="4464"/>
            <w:vAlign w:val="center"/>
          </w:tcPr>
          <w:p>
            <w:pPr>
              <w:spacing w:after="0" w:line="264" w:lineRule="auto"/>
              <w:jc w:val="left"/>
            </w:pPr>
            <w:r>
              <w:rPr>
                <w:b w:val="0"/>
                <w:sz w:val="20"/>
              </w:rPr>
              <w:t>物理切向与坐标分量不同</w:t>
            </w:r>
          </w:p>
        </w:tc>
      </w:tr>
      <w:tr>
        <w:trPr>
          <w:cantSplit/>
        </w:trPr>
        <w:tc>
          <w:tcPr>
            <w:tcW w:type="dxa" w:w="2520"/>
            <w:vAlign w:val="center"/>
          </w:tcPr>
          <w:p>
            <w:pPr>
              <w:spacing w:after="0" w:line="264" w:lineRule="auto"/>
              <w:jc w:val="center"/>
            </w:pPr>
            <w:r>
              <w:rPr>
                <w:b w:val="0"/>
                <w:sz w:val="20"/>
              </w:rPr>
              <w:t>归一化</w:t>
            </w:r>
          </w:p>
        </w:tc>
        <w:tc>
          <w:tcPr>
            <w:tcW w:type="dxa" w:w="2664"/>
            <w:vAlign w:val="center"/>
          </w:tcPr>
          <w:p>
            <w:pPr>
              <w:spacing w:after="0" w:line="264" w:lineRule="auto"/>
              <w:jc w:val="left"/>
            </w:pPr>
            <w:r>
              <w:rPr>
                <w:b w:val="0"/>
                <w:sz w:val="20"/>
              </w:rPr>
              <w:t>参考速度、密度、黏度及长度</w:t>
            </w:r>
          </w:p>
        </w:tc>
        <w:tc>
          <w:tcPr>
            <w:tcW w:type="dxa" w:w="4464"/>
            <w:vAlign w:val="center"/>
          </w:tcPr>
          <w:p>
            <w:pPr>
              <w:spacing w:after="0" w:line="264" w:lineRule="auto"/>
              <w:jc w:val="left"/>
            </w:pPr>
            <w:r>
              <w:rPr>
                <w:b w:val="0"/>
                <w:sz w:val="20"/>
              </w:rPr>
              <w:t>半高／全高、半径／直径不同</w:t>
            </w:r>
          </w:p>
        </w:tc>
      </w:tr>
      <w:tr>
        <w:trPr>
          <w:cantSplit/>
        </w:trPr>
        <w:tc>
          <w:tcPr>
            <w:tcW w:type="dxa" w:w="2520"/>
            <w:vAlign w:val="center"/>
          </w:tcPr>
          <w:p>
            <w:pPr>
              <w:spacing w:after="0" w:line="264" w:lineRule="auto"/>
              <w:jc w:val="center"/>
            </w:pPr>
            <w:r>
              <w:rPr>
                <w:b w:val="0"/>
                <w:sz w:val="20"/>
              </w:rPr>
              <w:t>谱</w:t>
            </w:r>
          </w:p>
        </w:tc>
        <w:tc>
          <w:tcPr>
            <w:tcW w:type="dxa" w:w="2664"/>
            <w:vAlign w:val="center"/>
          </w:tcPr>
          <w:p>
            <w:pPr>
              <w:spacing w:after="0" w:line="264" w:lineRule="auto"/>
              <w:jc w:val="left"/>
            </w:pPr>
            <w:r>
              <w:rPr>
                <w:b w:val="0"/>
                <w:sz w:val="20"/>
              </w:rPr>
              <w:t>采样间隔、窗函数、窗长、重叠、PSD 单位</w:t>
            </w:r>
          </w:p>
        </w:tc>
        <w:tc>
          <w:tcPr>
            <w:tcW w:type="dxa" w:w="4464"/>
            <w:vAlign w:val="center"/>
          </w:tcPr>
          <w:p>
            <w:pPr>
              <w:spacing w:after="0" w:line="264" w:lineRule="auto"/>
              <w:jc w:val="left"/>
            </w:pPr>
            <w:r>
              <w:rPr>
                <w:b w:val="0"/>
                <w:sz w:val="20"/>
              </w:rPr>
              <w:t>空间谱与时间谱不能直接混用</w:t>
            </w:r>
          </w:p>
        </w:tc>
      </w:tr>
      <w:tr>
        <w:trPr>
          <w:cantSplit/>
        </w:trPr>
        <w:tc>
          <w:tcPr>
            <w:tcW w:type="dxa" w:w="2520"/>
            <w:vAlign w:val="center"/>
          </w:tcPr>
          <w:p>
            <w:pPr>
              <w:spacing w:after="0" w:line="264" w:lineRule="auto"/>
              <w:jc w:val="center"/>
            </w:pPr>
            <w:r>
              <w:rPr>
                <w:b w:val="0"/>
                <w:sz w:val="20"/>
              </w:rPr>
              <w:t>分离与再附</w:t>
            </w:r>
          </w:p>
        </w:tc>
        <w:tc>
          <w:tcPr>
            <w:tcW w:type="dxa" w:w="2664"/>
            <w:vAlign w:val="center"/>
          </w:tcPr>
          <w:p>
            <w:pPr>
              <w:spacing w:after="0" w:line="264" w:lineRule="auto"/>
              <w:jc w:val="left"/>
            </w:pPr>
            <w:r>
              <w:rPr>
                <w:b w:val="0"/>
                <w:sz w:val="20"/>
              </w:rPr>
              <w:t>判据、零点插值、坐标原点、误差</w:t>
            </w:r>
          </w:p>
        </w:tc>
        <w:tc>
          <w:tcPr>
            <w:tcW w:type="dxa" w:w="4464"/>
            <w:vAlign w:val="center"/>
          </w:tcPr>
          <w:p>
            <w:pPr>
              <w:spacing w:after="0" w:line="264" w:lineRule="auto"/>
              <w:jc w:val="left"/>
            </w:pPr>
            <w:r>
              <w:rPr>
                <w:b w:val="0"/>
                <w:sz w:val="20"/>
              </w:rPr>
              <w:t>瞬时反流与平均 Cf 零点不同</w:t>
            </w:r>
          </w:p>
        </w:tc>
      </w:tr>
      <w:tr>
        <w:trPr>
          <w:cantSplit/>
        </w:trPr>
        <w:tc>
          <w:tcPr>
            <w:tcW w:type="dxa" w:w="2520"/>
            <w:vAlign w:val="center"/>
          </w:tcPr>
          <w:p>
            <w:pPr>
              <w:spacing w:after="0" w:line="264" w:lineRule="auto"/>
              <w:jc w:val="center"/>
            </w:pPr>
            <w:r>
              <w:rPr>
                <w:b w:val="0"/>
                <w:sz w:val="20"/>
              </w:rPr>
              <w:t>守恒与耗散</w:t>
            </w:r>
          </w:p>
        </w:tc>
        <w:tc>
          <w:tcPr>
            <w:tcW w:type="dxa" w:w="2664"/>
            <w:vAlign w:val="center"/>
          </w:tcPr>
          <w:p>
            <w:pPr>
              <w:spacing w:after="0" w:line="264" w:lineRule="auto"/>
              <w:jc w:val="left"/>
            </w:pPr>
            <w:r>
              <w:rPr>
                <w:b w:val="0"/>
                <w:sz w:val="20"/>
              </w:rPr>
              <w:t>质量、动量、能量、源项功及边界通量</w:t>
            </w:r>
          </w:p>
        </w:tc>
        <w:tc>
          <w:tcPr>
            <w:tcW w:type="dxa" w:w="4464"/>
            <w:vAlign w:val="center"/>
          </w:tcPr>
          <w:p>
            <w:pPr>
              <w:spacing w:after="0" w:line="264" w:lineRule="auto"/>
              <w:jc w:val="left"/>
            </w:pPr>
            <w:r>
              <w:rPr>
                <w:b w:val="0"/>
                <w:sz w:val="20"/>
              </w:rPr>
              <w:t>开域流动不能照搬周期盒预算</w:t>
            </w:r>
          </w:p>
        </w:tc>
      </w:tr>
    </w:tbl>
    <w:p>
      <w:pPr>
        <w:spacing w:after="0"/>
      </w:pPr>
    </w:p>
    <w:p>
      <w:r>
        <w:rPr>
          <w:b w:val="0"/>
        </w:rPr>
        <w:t>普通协方差等于速度乘积的平均减去两个平均速度的乘积。Favre 均值是密度加权速度平均除以平均密度，Favre 应力须用相同密度权重形成。若先做展向速度平均，再对其计算方差，会丢失展向湍流能量，尤其损害周期山、翼型和压缩拐角的比较。</w:t>
      </w:r>
    </w:p>
    <w:p>
      <w:r>
        <w:rPr>
          <w:b w:val="0"/>
        </w:rPr>
        <w:t>Reτ 使用摩擦速度和明确的特征高度／半径，实际值由统计壁剪获得。Cf 为有符号切向剪应力除以选定参考动压，Cp 为压力相对基准值除以该动压。斜壁热流和剪应力须沿物理法向／切向计算。将壁面求导后处理与求解器黏性面通量作一致性核对，比只检查输出公式更有价值。</w:t>
      </w:r>
    </w:p>
    <w:p>
      <w:r>
        <w:rPr>
          <w:b w:val="0"/>
        </w:rPr>
        <w:t>谱分析必须有足够均匀的物理时间采样。变步长历史先作有说明的重采样和抗混叠处理，不能直接按样本编号 FFT。既要给主频，也要给频率分辨率、可用低频区间与置信区间。升阻力、激波位置、压力及流量可以连续高频保存，全三维场则按储存预算较疏输出。</w:t>
      </w:r>
    </w:p>
    <w:p>
      <w:pPr>
        <w:pStyle w:val="Heading2"/>
      </w:pPr>
      <w:r>
        <w:t>9 3 分清统计误差与分辨率误差</w:t>
      </w:r>
    </w:p>
    <w:p>
      <w:r>
        <w:rPr>
          <w:b w:val="0"/>
        </w:rPr>
        <w:t>先剔除启动、转捩与大尺度调整阶段，再用若干不重叠时间块检查均值、二阶量和关键壁面指标的漂移。充分发展判据应至少覆盖流量／驱动力、摩擦、动能及一项脉动统计。大量相邻时间步并非大量独立样本；应依据自相关时间或分块统计估计有效样本数。对于低频激波运动，需要覆盖许多低频周期，而不是只覆盖许多声学 CFL 步。</w:t>
      </w:r>
      <w:hyperlink r:id="rId56">
        <w:r>
          <w:rPr>
            <w:color w:val="205580"/>
            <w:rFonts w:eastAsia="宋体" w:ascii="Times New Roman" w:hAnsi="Times New Roman"/>
          </w:rPr>
          <w:t>R37</w:t>
        </w:r>
      </w:hyperlink>
    </w:p>
    <w:p>
      <w:r>
        <w:rPr>
          <w:b w:val="0"/>
        </w:rPr>
        <w:t>建议每个主指标给出时间分块置信区间和加长统计窗的稳定性；实验误差、参考 DNS 统计误差与本次采样误差应分别列出。初步工程筛查可将主要整体量的几百分点偏差列为关注区间，但本报告不把统一“误差小于 5%”设为所有算例的合格线：弱二次流、零点、热流峰和频谱需要各自的绝对／相对误差尺度。</w:t>
      </w:r>
    </w:p>
    <w:p>
      <w:r>
        <w:rPr>
          <w:b w:val="0"/>
        </w:rPr>
        <w:t>网格研究至少改变三个方向的分辨率并检查周期盒尺寸；必须记录第一层中心 y⁺、流向／展向间距、局部网格拉伸及关键剪切层厚度内的单元数。对高阶方法，还要区分单元数、自由度和实际谱分辨率。同样 100 万单元的不同方法、不同块拓扑或不同近壁分配，不具有自动可比的有效分辨率。</w:t>
      </w:r>
    </w:p>
    <w:p>
      <w:r>
        <w:rPr>
          <w:b w:val="0"/>
        </w:rPr>
        <w:t>ILES 加密时隐式耗散也改变，统计误差未必单调。可以报告趋势和有限分辨率范围内的可信度；在未确认渐近收敛、统计误差足够小之前，不机械套用 Richardson 外推或给出“网格无关”的结论。最有说服力的证据是：同一数值设置在多个独立物理机制下，同时改善均值、应力、谱和预算。</w:t>
      </w:r>
    </w:p>
    <w:p>
      <w:pPr>
        <w:pStyle w:val="Heading2"/>
      </w:pPr>
      <w:r>
        <w:t>9 4 建议的实施和验证顺序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20"/>
        <w:gridCol w:w="2232"/>
        <w:gridCol w:w="3240"/>
        <w:gridCol w:w="3456"/>
      </w:tblGrid>
      <w:tr>
        <w:trPr>
          <w:cantSplit/>
          <w:tblHeader/>
        </w:trPr>
        <w:tc>
          <w:tcPr>
            <w:tcW w:type="dxa" w:w="720"/>
            <w:vAlign w:val="center"/>
            <w:shd w:fill="DEE7EF"/>
          </w:tcPr>
          <w:p>
            <w:pPr>
              <w:spacing w:after="0" w:line="264" w:lineRule="auto"/>
              <w:jc w:val="center"/>
            </w:pPr>
            <w:r>
              <w:rPr>
                <w:b/>
                <w:sz w:val="20"/>
              </w:rPr>
              <w:t>阶段</w:t>
            </w:r>
          </w:p>
        </w:tc>
        <w:tc>
          <w:tcPr>
            <w:tcW w:type="dxa" w:w="2232"/>
            <w:vAlign w:val="center"/>
            <w:shd w:fill="DEE7EF"/>
          </w:tcPr>
          <w:p>
            <w:pPr>
              <w:spacing w:after="0" w:line="264" w:lineRule="auto"/>
              <w:jc w:val="left"/>
            </w:pPr>
            <w:r>
              <w:rPr>
                <w:b/>
                <w:sz w:val="20"/>
              </w:rPr>
              <w:t>优先对象</w:t>
            </w:r>
          </w:p>
        </w:tc>
        <w:tc>
          <w:tcPr>
            <w:tcW w:type="dxa" w:w="3240"/>
            <w:vAlign w:val="center"/>
            <w:shd w:fill="DEE7EF"/>
          </w:tcPr>
          <w:p>
            <w:pPr>
              <w:spacing w:after="0" w:line="264" w:lineRule="auto"/>
              <w:jc w:val="left"/>
            </w:pPr>
            <w:r>
              <w:rPr>
                <w:b/>
                <w:sz w:val="20"/>
              </w:rPr>
              <w:t>新增工作重点</w:t>
            </w:r>
          </w:p>
        </w:tc>
        <w:tc>
          <w:tcPr>
            <w:tcW w:type="dxa" w:w="3456"/>
            <w:vAlign w:val="center"/>
            <w:shd w:fill="DEE7EF"/>
          </w:tcPr>
          <w:p>
            <w:pPr>
              <w:spacing w:after="0" w:line="264" w:lineRule="auto"/>
              <w:jc w:val="left"/>
            </w:pPr>
            <w:r>
              <w:rPr>
                <w:b/>
                <w:sz w:val="20"/>
              </w:rPr>
              <w:t>进入下一阶段的依据</w:t>
            </w:r>
          </w:p>
        </w:tc>
      </w:tr>
      <w:tr>
        <w:trPr>
          <w:cantSplit/>
        </w:trPr>
        <w:tc>
          <w:tcPr>
            <w:tcW w:type="dxa" w:w="720"/>
            <w:vAlign w:val="center"/>
          </w:tcPr>
          <w:p>
            <w:pPr>
              <w:spacing w:after="0" w:line="264" w:lineRule="auto"/>
              <w:jc w:val="center"/>
            </w:pPr>
            <w:r>
              <w:rPr>
                <w:b w:val="0"/>
                <w:sz w:val="20"/>
              </w:rPr>
              <w:t>A</w:t>
            </w:r>
          </w:p>
        </w:tc>
        <w:tc>
          <w:tcPr>
            <w:tcW w:type="dxa" w:w="2232"/>
            <w:vAlign w:val="center"/>
          </w:tcPr>
          <w:p>
            <w:pPr>
              <w:spacing w:after="0" w:line="264" w:lineRule="auto"/>
              <w:jc w:val="left"/>
            </w:pPr>
            <w:r>
              <w:rPr>
                <w:b w:val="0"/>
                <w:sz w:val="20"/>
              </w:rPr>
              <w:t>TGV 与衰减 HIT</w:t>
            </w:r>
          </w:p>
        </w:tc>
        <w:tc>
          <w:tcPr>
            <w:tcW w:type="dxa" w:w="3240"/>
            <w:vAlign w:val="center"/>
          </w:tcPr>
          <w:p>
            <w:pPr>
              <w:spacing w:after="0" w:line="264" w:lineRule="auto"/>
              <w:jc w:val="left"/>
            </w:pPr>
            <w:r>
              <w:rPr>
                <w:b w:val="0"/>
                <w:sz w:val="20"/>
              </w:rPr>
              <w:t>可重复初值、能谱和动能预算</w:t>
            </w:r>
          </w:p>
        </w:tc>
        <w:tc>
          <w:tcPr>
            <w:tcW w:type="dxa" w:w="3456"/>
            <w:vAlign w:val="center"/>
          </w:tcPr>
          <w:p>
            <w:pPr>
              <w:spacing w:after="0" w:line="264" w:lineRule="auto"/>
              <w:jc w:val="left"/>
            </w:pPr>
            <w:r>
              <w:rPr>
                <w:b w:val="0"/>
                <w:sz w:val="20"/>
              </w:rPr>
              <w:t>多分辨率耗散与谱趋势可信</w:t>
            </w:r>
          </w:p>
        </w:tc>
      </w:tr>
      <w:tr>
        <w:trPr>
          <w:cantSplit/>
        </w:trPr>
        <w:tc>
          <w:tcPr>
            <w:tcW w:type="dxa" w:w="720"/>
            <w:vAlign w:val="center"/>
          </w:tcPr>
          <w:p>
            <w:pPr>
              <w:spacing w:after="0" w:line="264" w:lineRule="auto"/>
              <w:jc w:val="center"/>
            </w:pPr>
            <w:r>
              <w:rPr>
                <w:b w:val="0"/>
                <w:sz w:val="20"/>
              </w:rPr>
              <w:t>B</w:t>
            </w:r>
          </w:p>
        </w:tc>
        <w:tc>
          <w:tcPr>
            <w:tcW w:type="dxa" w:w="2232"/>
            <w:vAlign w:val="center"/>
          </w:tcPr>
          <w:p>
            <w:pPr>
              <w:spacing w:after="0" w:line="264" w:lineRule="auto"/>
              <w:jc w:val="left"/>
            </w:pPr>
            <w:r>
              <w:rPr>
                <w:b w:val="0"/>
                <w:sz w:val="20"/>
              </w:rPr>
              <w:t>已有槽道与方管</w:t>
            </w:r>
          </w:p>
        </w:tc>
        <w:tc>
          <w:tcPr>
            <w:tcW w:type="dxa" w:w="3240"/>
            <w:vAlign w:val="center"/>
          </w:tcPr>
          <w:p>
            <w:pPr>
              <w:spacing w:after="0" w:line="264" w:lineRule="auto"/>
              <w:jc w:val="left"/>
            </w:pPr>
            <w:r>
              <w:rPr>
                <w:b w:val="0"/>
                <w:sz w:val="20"/>
              </w:rPr>
              <w:t>壁剪、应力、二次流及统计误差</w:t>
            </w:r>
          </w:p>
        </w:tc>
        <w:tc>
          <w:tcPr>
            <w:tcW w:type="dxa" w:w="3456"/>
            <w:vAlign w:val="center"/>
          </w:tcPr>
          <w:p>
            <w:pPr>
              <w:spacing w:after="0" w:line="264" w:lineRule="auto"/>
              <w:jc w:val="left"/>
            </w:pPr>
            <w:r>
              <w:rPr>
                <w:b w:val="0"/>
                <w:sz w:val="20"/>
              </w:rPr>
              <w:t>湍流持续、近壁与各向异性合理</w:t>
            </w:r>
          </w:p>
        </w:tc>
      </w:tr>
      <w:tr>
        <w:trPr>
          <w:cantSplit/>
        </w:trPr>
        <w:tc>
          <w:tcPr>
            <w:tcW w:type="dxa" w:w="720"/>
            <w:vAlign w:val="center"/>
          </w:tcPr>
          <w:p>
            <w:pPr>
              <w:spacing w:after="0" w:line="264" w:lineRule="auto"/>
              <w:jc w:val="center"/>
            </w:pPr>
            <w:r>
              <w:rPr>
                <w:b w:val="0"/>
                <w:sz w:val="20"/>
              </w:rPr>
              <w:t>C</w:t>
            </w:r>
          </w:p>
        </w:tc>
        <w:tc>
          <w:tcPr>
            <w:tcW w:type="dxa" w:w="2232"/>
            <w:vAlign w:val="center"/>
          </w:tcPr>
          <w:p>
            <w:pPr>
              <w:spacing w:after="0" w:line="264" w:lineRule="auto"/>
              <w:jc w:val="left"/>
            </w:pPr>
            <w:r>
              <w:rPr>
                <w:b w:val="0"/>
                <w:sz w:val="20"/>
              </w:rPr>
              <w:t>零压梯度边界层和低 Re 后台阶</w:t>
            </w:r>
          </w:p>
        </w:tc>
        <w:tc>
          <w:tcPr>
            <w:tcW w:type="dxa" w:w="3240"/>
            <w:vAlign w:val="center"/>
          </w:tcPr>
          <w:p>
            <w:pPr>
              <w:spacing w:after="0" w:line="264" w:lineRule="auto"/>
              <w:jc w:val="left"/>
            </w:pPr>
            <w:r>
              <w:rPr>
                <w:b w:val="0"/>
                <w:sz w:val="20"/>
              </w:rPr>
              <w:t>前驱入口、开边界与再附统计</w:t>
            </w:r>
          </w:p>
        </w:tc>
        <w:tc>
          <w:tcPr>
            <w:tcW w:type="dxa" w:w="3456"/>
            <w:vAlign w:val="center"/>
          </w:tcPr>
          <w:p>
            <w:pPr>
              <w:spacing w:after="0" w:line="264" w:lineRule="auto"/>
              <w:jc w:val="left"/>
            </w:pPr>
            <w:r>
              <w:rPr>
                <w:b w:val="0"/>
                <w:sz w:val="20"/>
              </w:rPr>
              <w:t>入流状态及剖面同时符合参考</w:t>
            </w:r>
          </w:p>
        </w:tc>
      </w:tr>
      <w:tr>
        <w:trPr>
          <w:cantSplit/>
        </w:trPr>
        <w:tc>
          <w:tcPr>
            <w:tcW w:type="dxa" w:w="720"/>
            <w:vAlign w:val="center"/>
          </w:tcPr>
          <w:p>
            <w:pPr>
              <w:spacing w:after="0" w:line="264" w:lineRule="auto"/>
              <w:jc w:val="center"/>
            </w:pPr>
            <w:r>
              <w:rPr>
                <w:b w:val="0"/>
                <w:sz w:val="20"/>
              </w:rPr>
              <w:t>D</w:t>
            </w:r>
          </w:p>
        </w:tc>
        <w:tc>
          <w:tcPr>
            <w:tcW w:type="dxa" w:w="2232"/>
            <w:vAlign w:val="center"/>
          </w:tcPr>
          <w:p>
            <w:pPr>
              <w:spacing w:after="0" w:line="264" w:lineRule="auto"/>
              <w:jc w:val="left"/>
            </w:pPr>
            <w:r>
              <w:rPr>
                <w:b w:val="0"/>
                <w:sz w:val="20"/>
              </w:rPr>
              <w:t>周期山、圆柱、SD7003</w:t>
            </w:r>
          </w:p>
        </w:tc>
        <w:tc>
          <w:tcPr>
            <w:tcW w:type="dxa" w:w="3240"/>
            <w:vAlign w:val="center"/>
          </w:tcPr>
          <w:p>
            <w:pPr>
              <w:spacing w:after="0" w:line="264" w:lineRule="auto"/>
              <w:jc w:val="left"/>
            </w:pPr>
            <w:r>
              <w:rPr>
                <w:b w:val="0"/>
                <w:sz w:val="20"/>
              </w:rPr>
              <w:t>曲线多块接口、展宽和转捩</w:t>
            </w:r>
          </w:p>
        </w:tc>
        <w:tc>
          <w:tcPr>
            <w:tcW w:type="dxa" w:w="3456"/>
            <w:vAlign w:val="center"/>
          </w:tcPr>
          <w:p>
            <w:pPr>
              <w:spacing w:after="0" w:line="264" w:lineRule="auto"/>
              <w:jc w:val="left"/>
            </w:pPr>
            <w:r>
              <w:rPr>
                <w:b w:val="0"/>
                <w:sz w:val="20"/>
              </w:rPr>
              <w:t>分离／尾流与二阶量一致</w:t>
            </w:r>
          </w:p>
        </w:tc>
      </w:tr>
      <w:tr>
        <w:trPr>
          <w:cantSplit/>
        </w:trPr>
        <w:tc>
          <w:tcPr>
            <w:tcW w:type="dxa" w:w="720"/>
            <w:vAlign w:val="center"/>
          </w:tcPr>
          <w:p>
            <w:pPr>
              <w:spacing w:after="0" w:line="264" w:lineRule="auto"/>
              <w:jc w:val="center"/>
            </w:pPr>
            <w:r>
              <w:rPr>
                <w:b w:val="0"/>
                <w:sz w:val="20"/>
              </w:rPr>
              <w:t>E</w:t>
            </w:r>
          </w:p>
        </w:tc>
        <w:tc>
          <w:tcPr>
            <w:tcW w:type="dxa" w:w="2232"/>
            <w:vAlign w:val="center"/>
          </w:tcPr>
          <w:p>
            <w:pPr>
              <w:spacing w:after="0" w:line="264" w:lineRule="auto"/>
              <w:jc w:val="left"/>
            </w:pPr>
            <w:r>
              <w:rPr>
                <w:b w:val="0"/>
                <w:sz w:val="20"/>
              </w:rPr>
              <w:t>可压缩边界层和激波 HIT</w:t>
            </w:r>
          </w:p>
        </w:tc>
        <w:tc>
          <w:tcPr>
            <w:tcW w:type="dxa" w:w="3240"/>
            <w:vAlign w:val="center"/>
          </w:tcPr>
          <w:p>
            <w:pPr>
              <w:spacing w:after="0" w:line="264" w:lineRule="auto"/>
              <w:jc w:val="left"/>
            </w:pPr>
            <w:r>
              <w:rPr>
                <w:b w:val="0"/>
                <w:sz w:val="20"/>
              </w:rPr>
              <w:t>Favre 统计、热流、局部激波耗散</w:t>
            </w:r>
          </w:p>
        </w:tc>
        <w:tc>
          <w:tcPr>
            <w:tcW w:type="dxa" w:w="3456"/>
            <w:vAlign w:val="center"/>
          </w:tcPr>
          <w:p>
            <w:pPr>
              <w:spacing w:after="0" w:line="264" w:lineRule="auto"/>
              <w:jc w:val="left"/>
            </w:pPr>
            <w:r>
              <w:rPr>
                <w:b w:val="0"/>
                <w:sz w:val="20"/>
              </w:rPr>
              <w:t>无激波热流与无壁面激波响应可信</w:t>
            </w:r>
          </w:p>
        </w:tc>
      </w:tr>
      <w:tr>
        <w:trPr>
          <w:cantSplit/>
        </w:trPr>
        <w:tc>
          <w:tcPr>
            <w:tcW w:type="dxa" w:w="720"/>
            <w:vAlign w:val="center"/>
          </w:tcPr>
          <w:p>
            <w:pPr>
              <w:spacing w:after="0" w:line="264" w:lineRule="auto"/>
              <w:jc w:val="center"/>
            </w:pPr>
            <w:r>
              <w:rPr>
                <w:b w:val="0"/>
                <w:sz w:val="20"/>
              </w:rPr>
              <w:t>F</w:t>
            </w:r>
          </w:p>
        </w:tc>
        <w:tc>
          <w:tcPr>
            <w:tcW w:type="dxa" w:w="2232"/>
            <w:vAlign w:val="center"/>
          </w:tcPr>
          <w:p>
            <w:pPr>
              <w:spacing w:after="0" w:line="264" w:lineRule="auto"/>
              <w:jc w:val="left"/>
            </w:pPr>
            <w:r>
              <w:rPr>
                <w:b w:val="0"/>
                <w:sz w:val="20"/>
              </w:rPr>
              <w:t>斜激波及压缩拐角</w:t>
            </w:r>
          </w:p>
        </w:tc>
        <w:tc>
          <w:tcPr>
            <w:tcW w:type="dxa" w:w="3240"/>
            <w:vAlign w:val="center"/>
          </w:tcPr>
          <w:p>
            <w:pPr>
              <w:spacing w:after="0" w:line="264" w:lineRule="auto"/>
              <w:jc w:val="left"/>
            </w:pPr>
            <w:r>
              <w:rPr>
                <w:b w:val="0"/>
                <w:sz w:val="20"/>
              </w:rPr>
              <w:t>长时间低频统计、再附加热</w:t>
            </w:r>
          </w:p>
        </w:tc>
        <w:tc>
          <w:tcPr>
            <w:tcW w:type="dxa" w:w="3456"/>
            <w:vAlign w:val="center"/>
          </w:tcPr>
          <w:p>
            <w:pPr>
              <w:spacing w:after="0" w:line="264" w:lineRule="auto"/>
              <w:jc w:val="left"/>
            </w:pPr>
            <w:r>
              <w:rPr>
                <w:b w:val="0"/>
                <w:sz w:val="20"/>
              </w:rPr>
              <w:t>入口、均值、脉动及热流分别验证</w:t>
            </w:r>
          </w:p>
        </w:tc>
      </w:tr>
    </w:tbl>
    <w:p>
      <w:pPr>
        <w:spacing w:after="0"/>
      </w:pPr>
    </w:p>
    <w:p>
      <w:r>
        <w:rPr>
          <w:b w:val="0"/>
        </w:rPr>
        <w:t>圆管可与 B 并行作为曲率测试；强迫 HIT 适合在 A 后增加强迫与稳态统计；混合层可与 C 的入口开发配合。高 Re NASA 隆起、强 APG 和圆射流宜在基础能力可靠且服务器资源评估完成后安排。这里的顺序是研发建议，不是本次已启动的计算计划。</w:t>
      </w:r>
    </w:p>
    <w:p>
      <w:pPr>
        <w:pStyle w:val="Heading1"/>
      </w:pPr>
      <w:r>
        <w:t>10 参考数据清单与可追溯性</w:t>
      </w:r>
    </w:p>
    <w:p>
      <w:r>
        <w:rPr>
          <w:b w:val="0"/>
        </w:rPr>
        <w:t>本次随报告保存若干体量较小的公开原始数据和来源清单。sources/manifest.json 记录获取日期、来源 URL、文件大小、SHA-256，以及未成功获取的项目。原始文件不改写列名、数值或不确定度；报告中的派生值用独立脚本重算。大体量三维数据库和原作者未公开的时序没有下载。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520"/>
        <w:gridCol w:w="2664"/>
        <w:gridCol w:w="4464"/>
      </w:tblGrid>
      <w:tr>
        <w:trPr>
          <w:cantSplit/>
          <w:tblHeader/>
        </w:trPr>
        <w:tc>
          <w:tcPr>
            <w:tcW w:type="dxa" w:w="2520"/>
            <w:vAlign w:val="center"/>
            <w:shd w:fill="DEE7EF"/>
          </w:tcPr>
          <w:p>
            <w:pPr>
              <w:spacing w:after="0" w:line="264" w:lineRule="auto"/>
              <w:jc w:val="center"/>
            </w:pPr>
            <w:r>
              <w:rPr>
                <w:b/>
                <w:sz w:val="20"/>
              </w:rPr>
              <w:t>数据</w:t>
            </w:r>
          </w:p>
        </w:tc>
        <w:tc>
          <w:tcPr>
            <w:tcW w:type="dxa" w:w="2664"/>
            <w:vAlign w:val="center"/>
            <w:shd w:fill="DEE7EF"/>
          </w:tcPr>
          <w:p>
            <w:pPr>
              <w:spacing w:after="0" w:line="264" w:lineRule="auto"/>
              <w:jc w:val="left"/>
            </w:pPr>
            <w:r>
              <w:rPr>
                <w:b/>
                <w:sz w:val="20"/>
              </w:rPr>
              <w:t>本次状态</w:t>
            </w:r>
          </w:p>
        </w:tc>
        <w:tc>
          <w:tcPr>
            <w:tcW w:type="dxa" w:w="4464"/>
            <w:vAlign w:val="center"/>
            <w:shd w:fill="DEE7EF"/>
          </w:tcPr>
          <w:p>
            <w:pPr>
              <w:spacing w:after="0" w:line="264" w:lineRule="auto"/>
              <w:jc w:val="left"/>
            </w:pPr>
            <w:r>
              <w:rPr>
                <w:b/>
                <w:sz w:val="20"/>
              </w:rPr>
              <w:t>可立即核验的内容</w:t>
            </w:r>
          </w:p>
        </w:tc>
      </w:tr>
      <w:tr>
        <w:trPr>
          <w:cantSplit/>
        </w:trPr>
        <w:tc>
          <w:tcPr>
            <w:tcW w:type="dxa" w:w="2520"/>
            <w:vAlign w:val="center"/>
          </w:tcPr>
          <w:p>
            <w:pPr>
              <w:spacing w:after="0" w:line="264" w:lineRule="auto"/>
              <w:jc w:val="center"/>
            </w:pPr>
            <w:r>
              <w:rPr>
                <w:b w:val="0"/>
                <w:sz w:val="20"/>
              </w:rPr>
              <w:t>工作坊 TGV 规范与 data.tgz</w:t>
            </w:r>
          </w:p>
        </w:tc>
        <w:tc>
          <w:tcPr>
            <w:tcW w:type="dxa" w:w="2664"/>
            <w:vAlign w:val="center"/>
          </w:tcPr>
          <w:p>
            <w:pPr>
              <w:spacing w:after="0" w:line="264" w:lineRule="auto"/>
              <w:jc w:val="left"/>
            </w:pPr>
            <w:r>
              <w:rPr>
                <w:b w:val="0"/>
                <w:sz w:val="20"/>
              </w:rPr>
              <w:t>已保存并读取</w:t>
            </w:r>
          </w:p>
        </w:tc>
        <w:tc>
          <w:tcPr>
            <w:tcW w:type="dxa" w:w="4464"/>
            <w:vAlign w:val="center"/>
          </w:tcPr>
          <w:p>
            <w:pPr>
              <w:spacing w:after="0" w:line="264" w:lineRule="auto"/>
              <w:jc w:val="left"/>
            </w:pPr>
            <w:r>
              <w:rPr>
                <w:b w:val="0"/>
                <w:sz w:val="20"/>
              </w:rPr>
              <w:t>K、ε、Ω 时间历程及离散峰值</w:t>
            </w:r>
          </w:p>
        </w:tc>
      </w:tr>
      <w:tr>
        <w:trPr>
          <w:cantSplit/>
        </w:trPr>
        <w:tc>
          <w:tcPr>
            <w:tcW w:type="dxa" w:w="2520"/>
            <w:vAlign w:val="center"/>
          </w:tcPr>
          <w:p>
            <w:pPr>
              <w:spacing w:after="0" w:line="264" w:lineRule="auto"/>
              <w:jc w:val="center"/>
            </w:pPr>
            <w:r>
              <w:rPr>
                <w:b w:val="0"/>
                <w:sz w:val="20"/>
              </w:rPr>
              <w:t>CBC 1971 原论文</w:t>
            </w:r>
          </w:p>
        </w:tc>
        <w:tc>
          <w:tcPr>
            <w:tcW w:type="dxa" w:w="2664"/>
            <w:vAlign w:val="center"/>
          </w:tcPr>
          <w:p>
            <w:pPr>
              <w:spacing w:after="0" w:line="264" w:lineRule="auto"/>
              <w:jc w:val="left"/>
            </w:pPr>
            <w:r>
              <w:rPr>
                <w:b w:val="0"/>
                <w:sz w:val="20"/>
              </w:rPr>
              <w:t>已保存并核对表 4 页面</w:t>
            </w:r>
          </w:p>
        </w:tc>
        <w:tc>
          <w:tcPr>
            <w:tcW w:type="dxa" w:w="4464"/>
            <w:vAlign w:val="center"/>
          </w:tcPr>
          <w:p>
            <w:pPr>
              <w:spacing w:after="0" w:line="264" w:lineRule="auto"/>
              <w:jc w:val="left"/>
            </w:pPr>
            <w:r>
              <w:rPr>
                <w:b w:val="0"/>
                <w:sz w:val="20"/>
              </w:rPr>
              <w:t>三测站 RMS、耗散、尺度与 Reλ</w:t>
            </w:r>
          </w:p>
        </w:tc>
      </w:tr>
      <w:tr>
        <w:trPr>
          <w:cantSplit/>
        </w:trPr>
        <w:tc>
          <w:tcPr>
            <w:tcW w:type="dxa" w:w="2520"/>
            <w:vAlign w:val="center"/>
          </w:tcPr>
          <w:p>
            <w:pPr>
              <w:spacing w:after="0" w:line="264" w:lineRule="auto"/>
              <w:jc w:val="center"/>
            </w:pPr>
            <w:r>
              <w:rPr>
                <w:b w:val="0"/>
                <w:sz w:val="20"/>
              </w:rPr>
              <w:t>Lee–Moser 180 均值及应力表</w:t>
            </w:r>
          </w:p>
        </w:tc>
        <w:tc>
          <w:tcPr>
            <w:tcW w:type="dxa" w:w="2664"/>
            <w:vAlign w:val="center"/>
          </w:tcPr>
          <w:p>
            <w:pPr>
              <w:spacing w:after="0" w:line="264" w:lineRule="auto"/>
              <w:jc w:val="left"/>
            </w:pPr>
            <w:r>
              <w:rPr>
                <w:b w:val="0"/>
                <w:sz w:val="20"/>
              </w:rPr>
              <w:t>已保存并读取文件头</w:t>
            </w:r>
          </w:p>
        </w:tc>
        <w:tc>
          <w:tcPr>
            <w:tcW w:type="dxa" w:w="4464"/>
            <w:vAlign w:val="center"/>
          </w:tcPr>
          <w:p>
            <w:pPr>
              <w:spacing w:after="0" w:line="264" w:lineRule="auto"/>
              <w:jc w:val="left"/>
            </w:pPr>
            <w:r>
              <w:rPr>
                <w:b w:val="0"/>
                <w:sz w:val="20"/>
              </w:rPr>
              <w:t>实际 Reτ、U、应力剖面</w:t>
            </w:r>
          </w:p>
        </w:tc>
      </w:tr>
      <w:tr>
        <w:trPr>
          <w:cantSplit/>
        </w:trPr>
        <w:tc>
          <w:tcPr>
            <w:tcW w:type="dxa" w:w="2520"/>
            <w:vAlign w:val="center"/>
          </w:tcPr>
          <w:p>
            <w:pPr>
              <w:spacing w:after="0" w:line="264" w:lineRule="auto"/>
              <w:jc w:val="center"/>
            </w:pPr>
            <w:r>
              <w:rPr>
                <w:b w:val="0"/>
                <w:sz w:val="20"/>
              </w:rPr>
              <w:t>KTH vel_1410_dns.prof</w:t>
            </w:r>
          </w:p>
        </w:tc>
        <w:tc>
          <w:tcPr>
            <w:tcW w:type="dxa" w:w="2664"/>
            <w:vAlign w:val="center"/>
          </w:tcPr>
          <w:p>
            <w:pPr>
              <w:spacing w:after="0" w:line="264" w:lineRule="auto"/>
              <w:jc w:val="left"/>
            </w:pPr>
            <w:r>
              <w:rPr>
                <w:b w:val="0"/>
                <w:sz w:val="20"/>
              </w:rPr>
              <w:t>已保存并读取</w:t>
            </w:r>
          </w:p>
        </w:tc>
        <w:tc>
          <w:tcPr>
            <w:tcW w:type="dxa" w:w="4464"/>
            <w:vAlign w:val="center"/>
          </w:tcPr>
          <w:p>
            <w:pPr>
              <w:spacing w:after="0" w:line="264" w:lineRule="auto"/>
              <w:jc w:val="left"/>
            </w:pPr>
            <w:r>
              <w:rPr>
                <w:b w:val="0"/>
                <w:sz w:val="20"/>
              </w:rPr>
              <w:t>Reθ、H、Cf、速度及应力</w:t>
            </w:r>
          </w:p>
        </w:tc>
      </w:tr>
      <w:tr>
        <w:trPr>
          <w:cantSplit/>
        </w:trPr>
        <w:tc>
          <w:tcPr>
            <w:tcW w:type="dxa" w:w="2520"/>
            <w:vAlign w:val="center"/>
          </w:tcPr>
          <w:p>
            <w:pPr>
              <w:spacing w:after="0" w:line="264" w:lineRule="auto"/>
              <w:jc w:val="center"/>
            </w:pPr>
            <w:r>
              <w:rPr>
                <w:b w:val="0"/>
                <w:sz w:val="20"/>
              </w:rPr>
              <w:t>NASA 后台阶 Cp／Cf</w:t>
            </w:r>
          </w:p>
        </w:tc>
        <w:tc>
          <w:tcPr>
            <w:tcW w:type="dxa" w:w="2664"/>
            <w:vAlign w:val="center"/>
          </w:tcPr>
          <w:p>
            <w:pPr>
              <w:spacing w:after="0" w:line="264" w:lineRule="auto"/>
              <w:jc w:val="left"/>
            </w:pPr>
            <w:r>
              <w:rPr>
                <w:b w:val="0"/>
                <w:sz w:val="20"/>
              </w:rPr>
              <w:t>已保存</w:t>
            </w:r>
          </w:p>
        </w:tc>
        <w:tc>
          <w:tcPr>
            <w:tcW w:type="dxa" w:w="4464"/>
            <w:vAlign w:val="center"/>
          </w:tcPr>
          <w:p>
            <w:pPr>
              <w:spacing w:after="0" w:line="264" w:lineRule="auto"/>
              <w:jc w:val="left"/>
            </w:pPr>
            <w:r>
              <w:rPr>
                <w:b w:val="0"/>
                <w:sz w:val="20"/>
              </w:rPr>
              <w:t>曲线、Cf 不确定度</w:t>
            </w:r>
          </w:p>
        </w:tc>
      </w:tr>
      <w:tr>
        <w:trPr>
          <w:cantSplit/>
        </w:trPr>
        <w:tc>
          <w:tcPr>
            <w:tcW w:type="dxa" w:w="2520"/>
            <w:vAlign w:val="center"/>
          </w:tcPr>
          <w:p>
            <w:pPr>
              <w:spacing w:after="0" w:line="264" w:lineRule="auto"/>
              <w:jc w:val="center"/>
            </w:pPr>
            <w:r>
              <w:rPr>
                <w:b w:val="0"/>
                <w:sz w:val="20"/>
              </w:rPr>
              <w:t>NASA 隆起 Cp／Cf</w:t>
            </w:r>
          </w:p>
        </w:tc>
        <w:tc>
          <w:tcPr>
            <w:tcW w:type="dxa" w:w="2664"/>
            <w:vAlign w:val="center"/>
          </w:tcPr>
          <w:p>
            <w:pPr>
              <w:spacing w:after="0" w:line="264" w:lineRule="auto"/>
              <w:jc w:val="left"/>
            </w:pPr>
            <w:r>
              <w:rPr>
                <w:b w:val="0"/>
                <w:sz w:val="20"/>
              </w:rPr>
              <w:t>已保存</w:t>
            </w:r>
          </w:p>
        </w:tc>
        <w:tc>
          <w:tcPr>
            <w:tcW w:type="dxa" w:w="4464"/>
            <w:vAlign w:val="center"/>
          </w:tcPr>
          <w:p>
            <w:pPr>
              <w:spacing w:after="0" w:line="264" w:lineRule="auto"/>
              <w:jc w:val="left"/>
            </w:pPr>
            <w:r>
              <w:rPr>
                <w:b w:val="0"/>
                <w:sz w:val="20"/>
              </w:rPr>
              <w:t>曲线、Cf 不确定度和再附估计</w:t>
            </w:r>
          </w:p>
        </w:tc>
      </w:tr>
      <w:tr>
        <w:trPr>
          <w:cantSplit/>
        </w:trPr>
        <w:tc>
          <w:tcPr>
            <w:tcW w:type="dxa" w:w="2520"/>
            <w:vAlign w:val="center"/>
          </w:tcPr>
          <w:p>
            <w:pPr>
              <w:spacing w:after="0" w:line="264" w:lineRule="auto"/>
              <w:jc w:val="center"/>
            </w:pPr>
            <w:r>
              <w:rPr>
                <w:b w:val="0"/>
                <w:sz w:val="20"/>
              </w:rPr>
              <w:t>JHTDB 1024³ README</w:t>
            </w:r>
          </w:p>
        </w:tc>
        <w:tc>
          <w:tcPr>
            <w:tcW w:type="dxa" w:w="2664"/>
            <w:vAlign w:val="center"/>
          </w:tcPr>
          <w:p>
            <w:pPr>
              <w:spacing w:after="0" w:line="264" w:lineRule="auto"/>
              <w:jc w:val="left"/>
            </w:pPr>
            <w:r>
              <w:rPr>
                <w:b w:val="0"/>
                <w:sz w:val="20"/>
              </w:rPr>
              <w:t>已保存并读取</w:t>
            </w:r>
          </w:p>
        </w:tc>
        <w:tc>
          <w:tcPr>
            <w:tcW w:type="dxa" w:w="4464"/>
            <w:vAlign w:val="center"/>
          </w:tcPr>
          <w:p>
            <w:pPr>
              <w:spacing w:after="0" w:line="264" w:lineRule="auto"/>
              <w:jc w:val="left"/>
            </w:pPr>
            <w:r>
              <w:rPr>
                <w:b w:val="0"/>
                <w:sz w:val="20"/>
              </w:rPr>
              <w:t>原始／扩展时间窗及统计</w:t>
            </w:r>
          </w:p>
        </w:tc>
      </w:tr>
      <w:tr>
        <w:trPr>
          <w:cantSplit/>
        </w:trPr>
        <w:tc>
          <w:tcPr>
            <w:tcW w:type="dxa" w:w="2520"/>
            <w:vAlign w:val="center"/>
          </w:tcPr>
          <w:p>
            <w:pPr>
              <w:spacing w:after="0" w:line="264" w:lineRule="auto"/>
              <w:jc w:val="center"/>
            </w:pPr>
            <w:r>
              <w:rPr>
                <w:b w:val="0"/>
                <w:sz w:val="20"/>
              </w:rPr>
              <w:t>圆管 turbpipe 仓库</w:t>
            </w:r>
          </w:p>
        </w:tc>
        <w:tc>
          <w:tcPr>
            <w:tcW w:type="dxa" w:w="2664"/>
            <w:vAlign w:val="center"/>
          </w:tcPr>
          <w:p>
            <w:pPr>
              <w:spacing w:after="0" w:line="264" w:lineRule="auto"/>
              <w:jc w:val="left"/>
            </w:pPr>
            <w:r>
              <w:rPr>
                <w:b w:val="0"/>
                <w:sz w:val="20"/>
              </w:rPr>
              <w:t>已确认入口</w:t>
            </w:r>
          </w:p>
        </w:tc>
        <w:tc>
          <w:tcPr>
            <w:tcW w:type="dxa" w:w="4464"/>
            <w:vAlign w:val="center"/>
          </w:tcPr>
          <w:p>
            <w:pPr>
              <w:spacing w:after="0" w:line="264" w:lineRule="auto"/>
              <w:jc w:val="left"/>
            </w:pPr>
            <w:r>
              <w:rPr>
                <w:b w:val="0"/>
                <w:sz w:val="20"/>
              </w:rPr>
              <w:t>具体数据文件尚未逐项下载</w:t>
            </w:r>
          </w:p>
        </w:tc>
      </w:tr>
      <w:tr>
        <w:trPr>
          <w:cantSplit/>
        </w:trPr>
        <w:tc>
          <w:tcPr>
            <w:tcW w:type="dxa" w:w="2520"/>
            <w:vAlign w:val="center"/>
          </w:tcPr>
          <w:p>
            <w:pPr>
              <w:spacing w:after="0" w:line="264" w:lineRule="auto"/>
              <w:jc w:val="center"/>
            </w:pPr>
            <w:r>
              <w:rPr>
                <w:b w:val="0"/>
                <w:sz w:val="20"/>
              </w:rPr>
              <w:t>方管、APG、混合层</w:t>
            </w:r>
          </w:p>
        </w:tc>
        <w:tc>
          <w:tcPr>
            <w:tcW w:type="dxa" w:w="2664"/>
            <w:vAlign w:val="center"/>
          </w:tcPr>
          <w:p>
            <w:pPr>
              <w:spacing w:after="0" w:line="264" w:lineRule="auto"/>
              <w:jc w:val="left"/>
            </w:pPr>
            <w:r>
              <w:rPr>
                <w:b w:val="0"/>
                <w:sz w:val="20"/>
              </w:rPr>
              <w:t>已核实论文</w:t>
            </w:r>
          </w:p>
        </w:tc>
        <w:tc>
          <w:tcPr>
            <w:tcW w:type="dxa" w:w="4464"/>
            <w:vAlign w:val="center"/>
          </w:tcPr>
          <w:p>
            <w:pPr>
              <w:spacing w:after="0" w:line="264" w:lineRule="auto"/>
              <w:jc w:val="left"/>
            </w:pPr>
            <w:r>
              <w:rPr>
                <w:b w:val="0"/>
                <w:sz w:val="20"/>
              </w:rPr>
              <w:t>完整逐点数组仍待获取</w:t>
            </w:r>
          </w:p>
        </w:tc>
      </w:tr>
      <w:tr>
        <w:trPr>
          <w:cantSplit/>
        </w:trPr>
        <w:tc>
          <w:tcPr>
            <w:tcW w:type="dxa" w:w="2520"/>
            <w:vAlign w:val="center"/>
          </w:tcPr>
          <w:p>
            <w:pPr>
              <w:spacing w:after="0" w:line="264" w:lineRule="auto"/>
              <w:jc w:val="center"/>
            </w:pPr>
            <w:r>
              <w:rPr>
                <w:b w:val="0"/>
                <w:sz w:val="20"/>
              </w:rPr>
              <w:t>圆射流 2018 与斜激波 2023 论文</w:t>
            </w:r>
          </w:p>
        </w:tc>
        <w:tc>
          <w:tcPr>
            <w:tcW w:type="dxa" w:w="2664"/>
            <w:vAlign w:val="center"/>
          </w:tcPr>
          <w:p>
            <w:pPr>
              <w:spacing w:after="0" w:line="264" w:lineRule="auto"/>
              <w:jc w:val="left"/>
            </w:pPr>
            <w:r>
              <w:rPr>
                <w:b w:val="0"/>
                <w:sz w:val="20"/>
              </w:rPr>
              <w:t>已保存全文</w:t>
            </w:r>
          </w:p>
        </w:tc>
        <w:tc>
          <w:tcPr>
            <w:tcW w:type="dxa" w:w="4464"/>
            <w:vAlign w:val="center"/>
          </w:tcPr>
          <w:p>
            <w:pPr>
              <w:spacing w:after="0" w:line="264" w:lineRule="auto"/>
              <w:jc w:val="left"/>
            </w:pPr>
            <w:r>
              <w:rPr>
                <w:b w:val="0"/>
                <w:sz w:val="20"/>
              </w:rPr>
              <w:t>配置及公开表值；没有完整原始时序</w:t>
            </w:r>
          </w:p>
        </w:tc>
      </w:tr>
      <w:tr>
        <w:trPr>
          <w:cantSplit/>
        </w:trPr>
        <w:tc>
          <w:tcPr>
            <w:tcW w:type="dxa" w:w="2520"/>
            <w:vAlign w:val="center"/>
          </w:tcPr>
          <w:p>
            <w:pPr>
              <w:spacing w:after="0" w:line="264" w:lineRule="auto"/>
              <w:jc w:val="center"/>
            </w:pPr>
            <w:r>
              <w:rPr>
                <w:b w:val="0"/>
                <w:sz w:val="20"/>
              </w:rPr>
              <w:t>Larsson 激波 HIT 数据包</w:t>
            </w:r>
          </w:p>
        </w:tc>
        <w:tc>
          <w:tcPr>
            <w:tcW w:type="dxa" w:w="2664"/>
            <w:vAlign w:val="center"/>
          </w:tcPr>
          <w:p>
            <w:pPr>
              <w:spacing w:after="0" w:line="264" w:lineRule="auto"/>
              <w:jc w:val="left"/>
            </w:pPr>
            <w:r>
              <w:rPr>
                <w:b w:val="0"/>
                <w:sz w:val="20"/>
              </w:rPr>
              <w:t>已确认入口但下载失败</w:t>
            </w:r>
          </w:p>
        </w:tc>
        <w:tc>
          <w:tcPr>
            <w:tcW w:type="dxa" w:w="4464"/>
            <w:vAlign w:val="center"/>
          </w:tcPr>
          <w:p>
            <w:pPr>
              <w:spacing w:after="0" w:line="264" w:lineRule="auto"/>
              <w:jc w:val="left"/>
            </w:pPr>
            <w:r>
              <w:rPr>
                <w:b w:val="0"/>
                <w:sz w:val="20"/>
              </w:rPr>
              <w:t>尚不能声称已持有原始数组</w:t>
            </w:r>
          </w:p>
        </w:tc>
      </w:tr>
      <w:tr>
        <w:trPr>
          <w:cantSplit/>
        </w:trPr>
        <w:tc>
          <w:tcPr>
            <w:tcW w:type="dxa" w:w="2520"/>
            <w:vAlign w:val="center"/>
          </w:tcPr>
          <w:p>
            <w:pPr>
              <w:spacing w:after="0" w:line="264" w:lineRule="auto"/>
              <w:jc w:val="center"/>
            </w:pPr>
            <w:r>
              <w:rPr>
                <w:b w:val="0"/>
                <w:sz w:val="20"/>
              </w:rPr>
              <w:t>Larsson 可压缩边界层数据包</w:t>
            </w:r>
          </w:p>
        </w:tc>
        <w:tc>
          <w:tcPr>
            <w:tcW w:type="dxa" w:w="2664"/>
            <w:vAlign w:val="center"/>
          </w:tcPr>
          <w:p>
            <w:pPr>
              <w:spacing w:after="0" w:line="264" w:lineRule="auto"/>
              <w:jc w:val="left"/>
            </w:pPr>
            <w:r>
              <w:rPr>
                <w:b w:val="0"/>
                <w:sz w:val="20"/>
              </w:rPr>
              <w:t>已确认入口</w:t>
            </w:r>
          </w:p>
        </w:tc>
        <w:tc>
          <w:tcPr>
            <w:tcW w:type="dxa" w:w="4464"/>
            <w:vAlign w:val="center"/>
          </w:tcPr>
          <w:p>
            <w:pPr>
              <w:spacing w:after="0" w:line="264" w:lineRule="auto"/>
              <w:jc w:val="left"/>
            </w:pPr>
            <w:r>
              <w:rPr>
                <w:b w:val="0"/>
                <w:sz w:val="20"/>
              </w:rPr>
              <w:t>尚未下载并逐文件核对</w:t>
            </w:r>
          </w:p>
        </w:tc>
      </w:tr>
      <w:tr>
        <w:trPr>
          <w:cantSplit/>
        </w:trPr>
        <w:tc>
          <w:tcPr>
            <w:tcW w:type="dxa" w:w="2520"/>
            <w:vAlign w:val="center"/>
          </w:tcPr>
          <w:p>
            <w:pPr>
              <w:spacing w:after="0" w:line="264" w:lineRule="auto"/>
              <w:jc w:val="center"/>
            </w:pPr>
            <w:r>
              <w:rPr>
                <w:b w:val="0"/>
                <w:sz w:val="20"/>
              </w:rPr>
              <w:t>原有 SD7003 与压缩拐角数据</w:t>
            </w:r>
          </w:p>
        </w:tc>
        <w:tc>
          <w:tcPr>
            <w:tcW w:type="dxa" w:w="2664"/>
            <w:vAlign w:val="center"/>
          </w:tcPr>
          <w:p>
            <w:pPr>
              <w:spacing w:after="0" w:line="264" w:lineRule="auto"/>
              <w:jc w:val="left"/>
            </w:pPr>
            <w:r>
              <w:rPr>
                <w:b w:val="0"/>
                <w:sz w:val="20"/>
              </w:rPr>
              <w:t>引用既有目录</w:t>
            </w:r>
          </w:p>
        </w:tc>
        <w:tc>
          <w:tcPr>
            <w:tcW w:type="dxa" w:w="4464"/>
            <w:vAlign w:val="center"/>
          </w:tcPr>
          <w:p>
            <w:pPr>
              <w:spacing w:after="0" w:line="264" w:lineRule="auto"/>
              <w:jc w:val="left"/>
            </w:pPr>
            <w:r>
              <w:rPr>
                <w:b w:val="0"/>
                <w:sz w:val="20"/>
              </w:rPr>
              <w:t>表值／图像数字化，精度有限</w:t>
            </w:r>
          </w:p>
        </w:tc>
      </w:tr>
    </w:tbl>
    <w:p>
      <w:pPr>
        <w:spacing w:after="0"/>
      </w:pPr>
    </w:p>
    <w:p>
      <w:r>
        <w:rPr>
          <w:b w:val="0"/>
        </w:rPr>
        <w:t>TMR 已于 2026 年 2 月 24 日迁移到 TMBWG 的 GitHub 站点，报告采用新地址。该站同时包含 RANS 代码校核、实验、DNS 和 LES，使用时必须识别具体栏目；两个 RANS 程序互相吻合属于实现校核，不是湍流物理真值。</w:t>
      </w:r>
      <w:hyperlink r:id="rId57">
        <w:r>
          <w:rPr>
            <w:color w:val="205580"/>
            <w:rFonts w:eastAsia="宋体" w:ascii="Times New Roman" w:hAnsi="Times New Roman"/>
          </w:rPr>
          <w:t>R38</w:t>
        </w:r>
      </w:hyperlink>
    </w:p>
    <w:p>
      <w:r>
        <w:rPr>
          <w:b w:val="0"/>
        </w:rPr>
        <w:t>进一步扩展可考虑粗糙壁槽道、旋转槽道、曲率边界层、三维交汇流，以及 Rayleigh–Taylor／Richtmyer–Meshkov 混合。它们分别检验粗糙度、旋转、曲率、角区流动和变密度混合，但会引入新的几何／体力／多组分或初始界面问题。本轮优先保留单组分黏性流中与当前程序最直接相关的 19 类，不将这些扩展仅凭名称加入核心验收集。</w:t>
      </w:r>
    </w:p>
    <w:p>
      <w:pPr>
        <w:pStyle w:val="Heading1"/>
        <w:pageBreakBefore/>
      </w:pPr>
      <w:r>
        <w:t>11 参考文献与数据入口</w:t>
      </w:r>
    </w:p>
    <w:p>
      <w:r>
        <w:rPr>
          <w:b w:val="0"/>
        </w:rPr>
        <w:t>以下按正文编号排列。研究进展检索截至 2026 年 10 月 3 日；明确标为预印本的内容不冒充已经同行评审的结论。页面获取失败不代表资料不存在，具体下载状态以第 10 节及本地清单为准。</w:t>
      </w:r>
    </w:p>
    <w:p>
      <w:pPr>
        <w:spacing w:line="264" w:lineRule="auto" w:after="160"/>
      </w:pPr>
      <w:r>
        <w:rPr>
          <w:b w:val="0"/>
          <w:sz w:val="21"/>
        </w:rPr>
        <w:t xml:space="preserve">R01　Kim, J., Moin, P., Moser, R. 1987. Turbulence statistics in fully developed channel flow at low Reynolds number. Journal of Fluid Mechanics 177, 133–166. 数据整理见 </w:t>
      </w:r>
      <w:hyperlink r:id="rId12">
        <w:r>
          <w:rPr>
            <w:color w:val="205580"/>
            <w:rFonts w:eastAsia="宋体" w:ascii="Times New Roman" w:hAnsi="Times New Roman"/>
          </w:rPr>
          <w:t>ERCOFTAC Case 032</w:t>
        </w:r>
      </w:hyperlink>
      <w:r>
        <w:rPr>
          <w:b w:val="0"/>
          <w:sz w:val="21"/>
        </w:rPr>
        <w:t>。本地 simul1.dat 为当前槽道主对照。</w:t>
      </w:r>
    </w:p>
    <w:p>
      <w:pPr>
        <w:spacing w:line="264" w:lineRule="auto" w:after="160"/>
      </w:pPr>
      <w:r>
        <w:rPr>
          <w:b w:val="0"/>
          <w:sz w:val="21"/>
        </w:rPr>
        <w:t xml:space="preserve">R02　Lee, M., Moser, R. D. 2015. Direct numerical simulation of turbulent channel flow up to Reτ≈5200. Journal of Fluid Mechanics 774, 395–415. </w:t>
      </w:r>
      <w:hyperlink r:id="rId58">
        <w:r>
          <w:rPr>
            <w:color w:val="205580"/>
            <w:rFonts w:eastAsia="宋体" w:ascii="Times New Roman" w:hAnsi="Times New Roman"/>
          </w:rPr>
          <w:t>DOI 10.1017/jfm.2015.268</w:t>
        </w:r>
      </w:hyperlink>
      <w:r>
        <w:rPr>
          <w:b w:val="0"/>
          <w:sz w:val="21"/>
        </w:rPr>
        <w:t>；</w:t>
      </w:r>
      <w:hyperlink r:id="rId13">
        <w:r>
          <w:rPr>
            <w:color w:val="205580"/>
            <w:rFonts w:eastAsia="宋体" w:ascii="Times New Roman" w:hAnsi="Times New Roman"/>
          </w:rPr>
          <w:t>数据及说明</w:t>
        </w:r>
      </w:hyperlink>
      <w:r>
        <w:rPr>
          <w:b w:val="0"/>
          <w:sz w:val="21"/>
        </w:rPr>
        <w:t>。</w:t>
      </w:r>
    </w:p>
    <w:p>
      <w:pPr>
        <w:spacing w:line="264" w:lineRule="auto" w:after="160"/>
      </w:pPr>
      <w:r>
        <w:rPr>
          <w:b w:val="0"/>
          <w:sz w:val="21"/>
        </w:rPr>
        <w:t xml:space="preserve">R03　Fröhlich, J., Mellen, C. P., Rodi, W., Temmerman, L., Leschziner, M. A. 2005. Highly resolved large-eddy simulation of separated flow in a channel with streamwise periodic constrictions. Journal of Fluid Mechanics 526, 19–66. </w:t>
      </w:r>
      <w:hyperlink r:id="rId59">
        <w:r>
          <w:rPr>
            <w:color w:val="205580"/>
            <w:rFonts w:eastAsia="宋体" w:ascii="Times New Roman" w:hAnsi="Times New Roman"/>
          </w:rPr>
          <w:t>DOI 10.1017/S0022112004002812</w:t>
        </w:r>
      </w:hyperlink>
      <w:r>
        <w:rPr>
          <w:b w:val="0"/>
          <w:sz w:val="21"/>
        </w:rPr>
        <w:t>；</w:t>
      </w:r>
      <w:hyperlink r:id="rId15">
        <w:r>
          <w:rPr>
            <w:color w:val="205580"/>
            <w:rFonts w:eastAsia="宋体" w:ascii="Times New Roman" w:hAnsi="Times New Roman"/>
          </w:rPr>
          <w:t>TMR LES 数据</w:t>
        </w:r>
      </w:hyperlink>
      <w:r>
        <w:rPr>
          <w:b w:val="0"/>
          <w:sz w:val="21"/>
        </w:rPr>
        <w:t>。</w:t>
      </w:r>
    </w:p>
    <w:p>
      <w:pPr>
        <w:spacing w:line="264" w:lineRule="auto" w:after="160"/>
      </w:pPr>
      <w:r>
        <w:rPr>
          <w:b w:val="0"/>
          <w:sz w:val="21"/>
        </w:rPr>
        <w:t xml:space="preserve">R04　Balakumar, P. 2015. DNS/LES Simulations of Separated Flows at High Reynolds Numbers. AIAA 2015-2783. </w:t>
      </w:r>
      <w:hyperlink r:id="rId60">
        <w:r>
          <w:rPr>
            <w:color w:val="205580"/>
            <w:rFonts w:eastAsia="宋体" w:ascii="Times New Roman" w:hAnsi="Times New Roman"/>
          </w:rPr>
          <w:t>DOI 10.2514/6.2015-2783</w:t>
        </w:r>
      </w:hyperlink>
      <w:r>
        <w:rPr>
          <w:b w:val="0"/>
          <w:sz w:val="21"/>
        </w:rPr>
        <w:t>；</w:t>
      </w:r>
      <w:hyperlink r:id="rId16">
        <w:r>
          <w:rPr>
            <w:color w:val="205580"/>
            <w:rFonts w:eastAsia="宋体" w:ascii="Times New Roman" w:hAnsi="Times New Roman"/>
          </w:rPr>
          <w:t>Reₕ=2800 可压缩 DNS 数据页</w:t>
        </w:r>
      </w:hyperlink>
      <w:r>
        <w:rPr>
          <w:b w:val="0"/>
          <w:sz w:val="21"/>
        </w:rPr>
        <w:t>。</w:t>
      </w:r>
    </w:p>
    <w:p>
      <w:pPr>
        <w:spacing w:line="264" w:lineRule="auto" w:after="160"/>
      </w:pPr>
      <w:r>
        <w:rPr>
          <w:b w:val="0"/>
          <w:sz w:val="21"/>
        </w:rPr>
        <w:t xml:space="preserve">R05　Breuer, M., Peller, N., Rapp, C., Manhart, M. 2009. Flow over periodic hills—Numerical and experimental study in a wide range of Reynolds numbers. Computers &amp; Fluids 38, 433–457. </w:t>
      </w:r>
      <w:hyperlink r:id="rId17">
        <w:r>
          <w:rPr>
            <w:color w:val="205580"/>
            <w:rFonts w:eastAsia="宋体" w:ascii="Times New Roman" w:hAnsi="Times New Roman"/>
          </w:rPr>
          <w:t>出版者页面</w:t>
        </w:r>
      </w:hyperlink>
      <w:r>
        <w:rPr>
          <w:b w:val="0"/>
          <w:sz w:val="21"/>
        </w:rPr>
        <w:t>。</w:t>
      </w:r>
    </w:p>
    <w:p>
      <w:pPr>
        <w:spacing w:line="264" w:lineRule="auto" w:after="160"/>
      </w:pPr>
      <w:r>
        <w:rPr>
          <w:b w:val="0"/>
          <w:sz w:val="21"/>
        </w:rPr>
        <w:t xml:space="preserve">R06　International Workshop on High-Order CFD Methods. C3.3 SD7003 airfoil benchmark. </w:t>
      </w:r>
      <w:hyperlink r:id="rId19">
        <w:r>
          <w:rPr>
            <w:color w:val="205580"/>
            <w:rFonts w:eastAsia="宋体" w:ascii="Times New Roman" w:hAnsi="Times New Roman"/>
          </w:rPr>
          <w:t>算例规范</w:t>
        </w:r>
      </w:hyperlink>
      <w:r>
        <w:rPr>
          <w:b w:val="0"/>
          <w:sz w:val="21"/>
        </w:rPr>
        <w:t>；</w:t>
      </w:r>
      <w:hyperlink r:id="rId61">
        <w:r>
          <w:rPr>
            <w:color w:val="205580"/>
            <w:rFonts w:eastAsia="宋体" w:ascii="Times New Roman" w:hAnsi="Times New Roman"/>
          </w:rPr>
          <w:t>UIUC 原始翼型坐标</w:t>
        </w:r>
      </w:hyperlink>
      <w:r>
        <w:rPr>
          <w:b w:val="0"/>
          <w:sz w:val="21"/>
        </w:rPr>
        <w:t>。</w:t>
      </w:r>
    </w:p>
    <w:p>
      <w:pPr>
        <w:spacing w:line="264" w:lineRule="auto" w:after="160"/>
      </w:pPr>
      <w:r>
        <w:rPr>
          <w:b w:val="0"/>
          <w:sz w:val="21"/>
        </w:rPr>
        <w:t xml:space="preserve">R07　Galbraith, M. C., Visbal, M. R. 2010. Implicit Large Eddy Simulation of Low-Reynolds-Number Transitional Flow Past the SD7003 Airfoil. AIAA 2010-4737. </w:t>
      </w:r>
      <w:hyperlink r:id="rId20">
        <w:r>
          <w:rPr>
            <w:color w:val="205580"/>
            <w:rFonts w:eastAsia="宋体" w:ascii="Times New Roman" w:hAnsi="Times New Roman"/>
          </w:rPr>
          <w:t>DOI 10.2514/6.2010-4737</w:t>
        </w:r>
      </w:hyperlink>
      <w:r>
        <w:rPr>
          <w:b w:val="0"/>
          <w:sz w:val="21"/>
        </w:rPr>
        <w:t>。</w:t>
      </w:r>
    </w:p>
    <w:p>
      <w:pPr>
        <w:spacing w:line="264" w:lineRule="auto" w:after="160"/>
      </w:pPr>
      <w:r>
        <w:rPr>
          <w:b w:val="0"/>
          <w:sz w:val="21"/>
        </w:rPr>
        <w:t xml:space="preserve">R08　Porter, K. M., Poggie, J. 2019. Selective upstream influence on the unsteadiness of a separated turbulent compression ramp flow. Physics of Fluids 31, 016104. </w:t>
      </w:r>
      <w:hyperlink r:id="rId21">
        <w:r>
          <w:rPr>
            <w:color w:val="205580"/>
            <w:rFonts w:eastAsia="宋体" w:ascii="Times New Roman" w:hAnsi="Times New Roman"/>
          </w:rPr>
          <w:t>DOI 10.1063/1.5078938</w:t>
        </w:r>
      </w:hyperlink>
      <w:r>
        <w:rPr>
          <w:b w:val="0"/>
          <w:sz w:val="21"/>
        </w:rPr>
        <w:t>。</w:t>
      </w:r>
    </w:p>
    <w:p>
      <w:pPr>
        <w:spacing w:line="264" w:lineRule="auto" w:after="160"/>
      </w:pPr>
      <w:r>
        <w:rPr>
          <w:b w:val="0"/>
          <w:sz w:val="21"/>
        </w:rPr>
        <w:t xml:space="preserve">R09　Poggie 课题组. Compression ramp benchmark and publications. </w:t>
      </w:r>
      <w:hyperlink r:id="rId22">
        <w:r>
          <w:rPr>
            <w:color w:val="205580"/>
            <w:rFonts w:eastAsia="宋体" w:ascii="Times New Roman" w:hAnsi="Times New Roman"/>
          </w:rPr>
          <w:t>作者算例页</w:t>
        </w:r>
      </w:hyperlink>
      <w:r>
        <w:rPr>
          <w:b w:val="0"/>
          <w:sz w:val="21"/>
        </w:rPr>
        <w:t>；</w:t>
      </w:r>
      <w:hyperlink r:id="rId62">
        <w:r>
          <w:rPr>
            <w:color w:val="205580"/>
            <w:rFonts w:eastAsia="宋体" w:ascii="Times New Roman" w:hAnsi="Times New Roman"/>
          </w:rPr>
          <w:t>2017 年前期论文</w:t>
        </w:r>
      </w:hyperlink>
      <w:r>
        <w:rPr>
          <w:b w:val="0"/>
          <w:sz w:val="21"/>
        </w:rPr>
        <w:t>。</w:t>
      </w:r>
    </w:p>
    <w:p>
      <w:pPr>
        <w:spacing w:line="264" w:lineRule="auto" w:after="160"/>
      </w:pPr>
      <w:r>
        <w:rPr>
          <w:b w:val="0"/>
          <w:sz w:val="21"/>
        </w:rPr>
        <w:t xml:space="preserve">R10　International Workshop on High-Order CFD Methods. C3.5 Direct Numerical Simulation of the Taylor–Green Vortex at Re=1600. </w:t>
      </w:r>
      <w:hyperlink r:id="rId23">
        <w:r>
          <w:rPr>
            <w:color w:val="205580"/>
            <w:rFonts w:eastAsia="宋体" w:ascii="Times New Roman" w:hAnsi="Times New Roman"/>
          </w:rPr>
          <w:t>原始规范</w:t>
        </w:r>
      </w:hyperlink>
      <w:r>
        <w:rPr>
          <w:b w:val="0"/>
          <w:sz w:val="21"/>
        </w:rPr>
        <w:t>。</w:t>
      </w:r>
    </w:p>
    <w:p>
      <w:pPr>
        <w:spacing w:line="264" w:lineRule="auto" w:after="160"/>
      </w:pPr>
      <w:r>
        <w:rPr>
          <w:b w:val="0"/>
          <w:sz w:val="21"/>
        </w:rPr>
        <w:t xml:space="preserve">R11　同一工作坊. Taylor–Green vortex reference data. </w:t>
      </w:r>
      <w:hyperlink r:id="rId24">
        <w:r>
          <w:rPr>
            <w:color w:val="205580"/>
            <w:rFonts w:eastAsia="宋体" w:ascii="Times New Roman" w:hAnsi="Times New Roman"/>
          </w:rPr>
          <w:t>谱方法参考包</w:t>
        </w:r>
      </w:hyperlink>
      <w:r>
        <w:rPr>
          <w:b w:val="0"/>
          <w:sz w:val="21"/>
        </w:rPr>
        <w:t>。本次读取文件 spectral_Re1600_512.gdiag。</w:t>
      </w:r>
    </w:p>
    <w:p>
      <w:pPr>
        <w:spacing w:line="264" w:lineRule="auto" w:after="160"/>
      </w:pPr>
      <w:r>
        <w:rPr>
          <w:b w:val="0"/>
          <w:sz w:val="21"/>
        </w:rPr>
        <w:t xml:space="preserve">R12　Comte-Bellot, G., Corrsin, S. 1971. Simple Eulerian time correlation of full- and narrow-band velocity signals in grid-generated, isotropic turbulence. Journal of Fluid Mechanics 48, 273–337. </w:t>
      </w:r>
      <w:hyperlink r:id="rId25">
        <w:r>
          <w:rPr>
            <w:color w:val="205580"/>
            <w:rFonts w:eastAsia="宋体" w:ascii="Times New Roman" w:hAnsi="Times New Roman"/>
          </w:rPr>
          <w:t>DOI 10.1017/S0022112071001599</w:t>
        </w:r>
      </w:hyperlink>
      <w:r>
        <w:rPr>
          <w:b w:val="0"/>
          <w:sz w:val="21"/>
        </w:rPr>
        <w:t>；</w:t>
      </w:r>
      <w:hyperlink r:id="rId26">
        <w:r>
          <w:rPr>
            <w:color w:val="205580"/>
            <w:rFonts w:eastAsia="宋体" w:ascii="Times New Roman" w:hAnsi="Times New Roman"/>
          </w:rPr>
          <w:t>论文全文</w:t>
        </w:r>
      </w:hyperlink>
      <w:r>
        <w:rPr>
          <w:b w:val="0"/>
          <w:sz w:val="21"/>
        </w:rPr>
        <w:t>。</w:t>
      </w:r>
    </w:p>
    <w:p>
      <w:pPr>
        <w:spacing w:line="264" w:lineRule="auto" w:after="160"/>
      </w:pPr>
      <w:r>
        <w:rPr>
          <w:b w:val="0"/>
          <w:sz w:val="21"/>
        </w:rPr>
        <w:t xml:space="preserve">R13　Johns Hopkins Turbulence Databases. Forced isotropic turbulence dataset extended. </w:t>
      </w:r>
      <w:hyperlink r:id="rId27">
        <w:r>
          <w:rPr>
            <w:color w:val="205580"/>
            <w:rFonts w:eastAsia="宋体" w:ascii="Times New Roman" w:hAnsi="Times New Roman"/>
          </w:rPr>
          <w:t>参数及两个统计窗的原始 README</w:t>
        </w:r>
      </w:hyperlink>
      <w:r>
        <w:rPr>
          <w:b w:val="0"/>
          <w:sz w:val="21"/>
        </w:rPr>
        <w:t>。</w:t>
      </w:r>
    </w:p>
    <w:p>
      <w:pPr>
        <w:spacing w:line="264" w:lineRule="auto" w:after="160"/>
      </w:pPr>
      <w:r>
        <w:rPr>
          <w:b w:val="0"/>
          <w:sz w:val="21"/>
        </w:rPr>
        <w:t xml:space="preserve">R14　Johns Hopkins Turbulence Databases. </w:t>
      </w:r>
      <w:hyperlink r:id="rId28">
        <w:r>
          <w:rPr>
            <w:color w:val="205580"/>
            <w:rFonts w:eastAsia="宋体" w:ascii="Times New Roman" w:hAnsi="Times New Roman"/>
          </w:rPr>
          <w:t>数据与访问工具入口</w:t>
        </w:r>
      </w:hyperlink>
      <w:r>
        <w:rPr>
          <w:b w:val="0"/>
          <w:sz w:val="21"/>
        </w:rPr>
        <w:t>；</w:t>
      </w:r>
      <w:hyperlink r:id="rId63">
        <w:r>
          <w:rPr>
            <w:color w:val="205580"/>
            <w:rFonts w:eastAsia="宋体" w:ascii="Times New Roman" w:hAnsi="Times New Roman"/>
          </w:rPr>
          <w:t>原站数据目录</w:t>
        </w:r>
      </w:hyperlink>
      <w:r>
        <w:rPr>
          <w:b w:val="0"/>
          <w:sz w:val="21"/>
        </w:rPr>
        <w:t>。</w:t>
      </w:r>
    </w:p>
    <w:p>
      <w:pPr>
        <w:spacing w:line="264" w:lineRule="auto" w:after="160"/>
      </w:pPr>
      <w:r>
        <w:rPr>
          <w:b w:val="0"/>
          <w:sz w:val="21"/>
        </w:rPr>
        <w:t xml:space="preserve">R15　Yao, J., Rezaeiravesh, S., Schlatter, P., Hussain, F. 2023. Direct numerical simulations of turbulent pipe flow up to Reτ≈5200. Journal of Fluid Mechanics 956, A18. </w:t>
      </w:r>
      <w:hyperlink r:id="rId29">
        <w:r>
          <w:rPr>
            <w:color w:val="205580"/>
            <w:rFonts w:eastAsia="宋体" w:ascii="Times New Roman" w:hAnsi="Times New Roman"/>
          </w:rPr>
          <w:t>DOI 10.1017/jfm.2022.1013</w:t>
        </w:r>
      </w:hyperlink>
      <w:r>
        <w:rPr>
          <w:b w:val="0"/>
          <w:sz w:val="21"/>
        </w:rPr>
        <w:t>；</w:t>
      </w:r>
      <w:hyperlink r:id="rId31">
        <w:r>
          <w:rPr>
            <w:color w:val="205580"/>
            <w:rFonts w:eastAsia="宋体" w:ascii="Times New Roman" w:hAnsi="Times New Roman"/>
          </w:rPr>
          <w:t>turbpipe 数据仓库</w:t>
        </w:r>
      </w:hyperlink>
      <w:r>
        <w:rPr>
          <w:b w:val="0"/>
          <w:sz w:val="21"/>
        </w:rPr>
        <w:t>。</w:t>
      </w:r>
    </w:p>
    <w:p>
      <w:pPr>
        <w:spacing w:line="264" w:lineRule="auto" w:after="160"/>
      </w:pPr>
      <w:r>
        <w:rPr>
          <w:b w:val="0"/>
          <w:sz w:val="21"/>
        </w:rPr>
        <w:t xml:space="preserve">R16　Pirozzoli, S., Romero, J., Fatica, M., Verzicco, R., Orlandi, P. 2021. One-point statistics for turbulent pipe flow up to Reτ≈6000. Journal of Fluid Mechanics 926, A28. </w:t>
      </w:r>
      <w:hyperlink r:id="rId30">
        <w:r>
          <w:rPr>
            <w:color w:val="205580"/>
            <w:rFonts w:eastAsia="宋体" w:ascii="Times New Roman" w:hAnsi="Times New Roman"/>
          </w:rPr>
          <w:t>DOI 10.1017/jfm.2021.727</w:t>
        </w:r>
      </w:hyperlink>
      <w:r>
        <w:rPr>
          <w:b w:val="0"/>
          <w:sz w:val="21"/>
        </w:rPr>
        <w:t>。</w:t>
      </w:r>
    </w:p>
    <w:p>
      <w:pPr>
        <w:spacing w:line="264" w:lineRule="auto" w:after="160"/>
      </w:pPr>
      <w:r>
        <w:rPr>
          <w:b w:val="0"/>
          <w:sz w:val="21"/>
        </w:rPr>
        <w:t xml:space="preserve">R17　Pirozzoli, S., Modesti, D., Orlandi, P., Grasso, F. 2018. Turbulence and secondary motions in square duct flow. Journal of Fluid Mechanics 840, 631–655. </w:t>
      </w:r>
      <w:hyperlink r:id="rId32">
        <w:r>
          <w:rPr>
            <w:color w:val="205580"/>
            <w:rFonts w:eastAsia="宋体" w:ascii="Times New Roman" w:hAnsi="Times New Roman"/>
          </w:rPr>
          <w:t>DOI 10.1017/jfm.2018.66</w:t>
        </w:r>
      </w:hyperlink>
      <w:r>
        <w:rPr>
          <w:b w:val="0"/>
          <w:sz w:val="21"/>
        </w:rPr>
        <w:t>。</w:t>
      </w:r>
    </w:p>
    <w:p>
      <w:pPr>
        <w:spacing w:line="264" w:lineRule="auto" w:after="160"/>
      </w:pPr>
      <w:r>
        <w:rPr>
          <w:b w:val="0"/>
          <w:sz w:val="21"/>
        </w:rPr>
        <w:t xml:space="preserve">R18　Modesti, D., Pirozzoli, S., Orlandi, P., Grasso, F. 2018. On the role of secondary motions in turbulent square duct flow. </w:t>
      </w:r>
      <w:hyperlink r:id="rId33">
        <w:r>
          <w:rPr>
            <w:color w:val="205580"/>
            <w:rFonts w:eastAsia="宋体" w:ascii="Times New Roman" w:hAnsi="Times New Roman"/>
          </w:rPr>
          <w:t>DOI 10.1017/jfm.2018.391</w:t>
        </w:r>
      </w:hyperlink>
      <w:r>
        <w:rPr>
          <w:b w:val="0"/>
          <w:sz w:val="21"/>
        </w:rPr>
        <w:t>。</w:t>
      </w:r>
    </w:p>
    <w:p>
      <w:pPr>
        <w:spacing w:line="264" w:lineRule="auto" w:after="160"/>
      </w:pPr>
      <w:r>
        <w:rPr>
          <w:b w:val="0"/>
          <w:sz w:val="21"/>
        </w:rPr>
        <w:t xml:space="preserve">R19　Verolini, F., Xiao, M., Pirozzoli, S. 2026. Turbulent flow in a square duct at extreme Reynolds number. Journal of Fluid Mechanics，2026 年 9 月 10 日在线发表. </w:t>
      </w:r>
      <w:hyperlink r:id="rId34">
        <w:r>
          <w:rPr>
            <w:color w:val="205580"/>
            <w:rFonts w:eastAsia="宋体" w:ascii="Times New Roman" w:hAnsi="Times New Roman"/>
          </w:rPr>
          <w:t>出版者全文</w:t>
        </w:r>
      </w:hyperlink>
      <w:r>
        <w:rPr>
          <w:b w:val="0"/>
          <w:sz w:val="21"/>
        </w:rPr>
        <w:t>。该研究使用 WMLES。</w:t>
      </w:r>
    </w:p>
    <w:p>
      <w:pPr>
        <w:spacing w:line="264" w:lineRule="auto" w:after="160"/>
      </w:pPr>
      <w:r>
        <w:rPr>
          <w:b w:val="0"/>
          <w:sz w:val="21"/>
        </w:rPr>
        <w:t xml:space="preserve">R20　Schlatter, P., Örlü, R. 2010. Assessment of direct numerical simulation data of turbulent boundary layers. Journal of Fluid Mechanics 659, 116–126. </w:t>
      </w:r>
      <w:hyperlink r:id="rId35">
        <w:r>
          <w:rPr>
            <w:color w:val="205580"/>
            <w:rFonts w:eastAsia="宋体" w:ascii="Times New Roman" w:hAnsi="Times New Roman"/>
          </w:rPr>
          <w:t>作者维护的数据与文献目录</w:t>
        </w:r>
      </w:hyperlink>
      <w:r>
        <w:rPr>
          <w:b w:val="0"/>
          <w:sz w:val="21"/>
        </w:rPr>
        <w:t>。</w:t>
      </w:r>
    </w:p>
    <w:p>
      <w:pPr>
        <w:spacing w:line="264" w:lineRule="auto" w:after="160"/>
      </w:pPr>
      <w:r>
        <w:rPr>
          <w:b w:val="0"/>
          <w:sz w:val="21"/>
        </w:rPr>
        <w:t xml:space="preserve">R21　Kitsios, V., Sekimoto, A., Atkinson, C., et al. 2017. Direct numerical simulation of a self-similar adverse pressure gradient turbulent boundary layer at the verge of separation. Journal of Fluid Mechanics 829, 392–419. </w:t>
      </w:r>
      <w:hyperlink r:id="rId37">
        <w:r>
          <w:rPr>
            <w:color w:val="205580"/>
            <w:rFonts w:eastAsia="宋体" w:ascii="Times New Roman" w:hAnsi="Times New Roman"/>
          </w:rPr>
          <w:t>DOI 10.1017/jfm.2017.549</w:t>
        </w:r>
      </w:hyperlink>
      <w:r>
        <w:rPr>
          <w:b w:val="0"/>
          <w:sz w:val="21"/>
        </w:rPr>
        <w:t>；</w:t>
      </w:r>
      <w:hyperlink r:id="rId64">
        <w:r>
          <w:rPr>
            <w:color w:val="205580"/>
            <w:rFonts w:eastAsia="宋体" w:ascii="Times New Roman" w:hAnsi="Times New Roman"/>
          </w:rPr>
          <w:t>作者预印本</w:t>
        </w:r>
      </w:hyperlink>
      <w:r>
        <w:rPr>
          <w:b w:val="0"/>
          <w:sz w:val="21"/>
        </w:rPr>
        <w:t>。</w:t>
      </w:r>
    </w:p>
    <w:p>
      <w:pPr>
        <w:spacing w:line="264" w:lineRule="auto" w:after="160"/>
      </w:pPr>
      <w:r>
        <w:rPr>
          <w:b w:val="0"/>
          <w:sz w:val="21"/>
        </w:rPr>
        <w:t xml:space="preserve">R22　Bobke, A., Vinuesa, R., Örlü, R., Schlatter, P. 2017. History effects and near equilibrium in adverse-pressure-gradient turbulent boundary layers. Journal of Fluid Mechanics 820, 667–692. </w:t>
      </w:r>
      <w:hyperlink r:id="rId38">
        <w:r>
          <w:rPr>
            <w:color w:val="205580"/>
            <w:rFonts w:eastAsia="宋体" w:ascii="Times New Roman" w:hAnsi="Times New Roman"/>
          </w:rPr>
          <w:t>DOI 10.1017/jfm.2017.236</w:t>
        </w:r>
      </w:hyperlink>
      <w:r>
        <w:rPr>
          <w:b w:val="0"/>
          <w:sz w:val="21"/>
        </w:rPr>
        <w:t>。</w:t>
      </w:r>
    </w:p>
    <w:p>
      <w:pPr>
        <w:spacing w:line="264" w:lineRule="auto" w:after="160"/>
      </w:pPr>
      <w:r>
        <w:rPr>
          <w:b w:val="0"/>
          <w:sz w:val="21"/>
        </w:rPr>
        <w:t xml:space="preserve">R23　Larsson Computational Turbulence Laboratory. </w:t>
      </w:r>
      <w:hyperlink r:id="rId39">
        <w:r>
          <w:rPr>
            <w:color w:val="205580"/>
            <w:rFonts w:eastAsia="宋体" w:ascii="Times New Roman" w:hAnsi="Times New Roman"/>
          </w:rPr>
          <w:t>激波与湍流及可压缩边界层数据页</w:t>
        </w:r>
      </w:hyperlink>
      <w:r>
        <w:rPr>
          <w:b w:val="0"/>
          <w:sz w:val="21"/>
        </w:rPr>
        <w:t>。含数据头定义与下载链接。</w:t>
      </w:r>
    </w:p>
    <w:p>
      <w:pPr>
        <w:spacing w:line="264" w:lineRule="auto" w:after="160"/>
      </w:pPr>
      <w:r>
        <w:rPr>
          <w:b w:val="0"/>
          <w:sz w:val="21"/>
        </w:rPr>
        <w:t xml:space="preserve">R24　Kumar, V., Larsson, J. 2025. Improved heat flux modeling for high-speed wall-modeled large eddy simulation. Physical Review Fluids 10, 124605，2025 年 12 月 24 日发表. </w:t>
      </w:r>
      <w:hyperlink r:id="rId40">
        <w:r>
          <w:rPr>
            <w:color w:val="205580"/>
            <w:rFonts w:eastAsia="宋体" w:ascii="Times New Roman" w:hAnsi="Times New Roman"/>
          </w:rPr>
          <w:t>DOI 10.1103/2w9d-ys9k</w:t>
        </w:r>
      </w:hyperlink>
      <w:r>
        <w:rPr>
          <w:b w:val="0"/>
          <w:sz w:val="21"/>
        </w:rPr>
        <w:t>。本文采用的是作者页公开 DNS 参考，不是要求移植该壁面模型。</w:t>
      </w:r>
    </w:p>
    <w:p>
      <w:pPr>
        <w:spacing w:line="264" w:lineRule="auto" w:after="160"/>
      </w:pPr>
      <w:r>
        <w:rPr>
          <w:b w:val="0"/>
          <w:sz w:val="21"/>
        </w:rPr>
        <w:t xml:space="preserve">R25　Rogers, M. M., Moser, R. D. 1994. Direct simulation of a self-similar turbulent mixing layer. Physics of Fluids 6, 903–923. </w:t>
      </w:r>
      <w:hyperlink r:id="rId41">
        <w:r>
          <w:rPr>
            <w:color w:val="205580"/>
            <w:rFonts w:eastAsia="宋体" w:ascii="Times New Roman" w:hAnsi="Times New Roman"/>
          </w:rPr>
          <w:t>NASA 原始记录</w:t>
        </w:r>
      </w:hyperlink>
      <w:r>
        <w:rPr>
          <w:b w:val="0"/>
          <w:sz w:val="21"/>
        </w:rPr>
        <w:t>；</w:t>
      </w:r>
      <w:hyperlink r:id="rId65">
        <w:r>
          <w:rPr>
            <w:color w:val="205580"/>
            <w:rFonts w:eastAsia="宋体" w:ascii="Times New Roman" w:hAnsi="Times New Roman"/>
          </w:rPr>
          <w:t>DOI 10.1063/1.868325</w:t>
        </w:r>
      </w:hyperlink>
      <w:r>
        <w:rPr>
          <w:b w:val="0"/>
          <w:sz w:val="21"/>
        </w:rPr>
        <w:t>。</w:t>
      </w:r>
    </w:p>
    <w:p>
      <w:pPr>
        <w:spacing w:line="264" w:lineRule="auto" w:after="160"/>
      </w:pPr>
      <w:r>
        <w:rPr>
          <w:b w:val="0"/>
          <w:sz w:val="21"/>
        </w:rPr>
        <w:t xml:space="preserve">R26　Papamoschou, D., Roshko, A. 1988. The compressible turbulent shear layer an experimental study. Journal of Fluid Mechanics 197, 453–477. </w:t>
      </w:r>
      <w:hyperlink r:id="rId66">
        <w:r>
          <w:rPr>
            <w:color w:val="205580"/>
            <w:rFonts w:eastAsia="宋体" w:ascii="Times New Roman" w:hAnsi="Times New Roman"/>
          </w:rPr>
          <w:t>DOI 10.1017/S0022112088003325</w:t>
        </w:r>
      </w:hyperlink>
      <w:r>
        <w:rPr>
          <w:b w:val="0"/>
          <w:sz w:val="21"/>
        </w:rPr>
        <w:t>。</w:t>
      </w:r>
    </w:p>
    <w:p>
      <w:pPr>
        <w:spacing w:line="264" w:lineRule="auto" w:after="160"/>
      </w:pPr>
      <w:r>
        <w:rPr>
          <w:b w:val="0"/>
          <w:sz w:val="21"/>
        </w:rPr>
        <w:t xml:space="preserve">R27　Brès, G. A., Jordan, P., Jaunet, V., et al. 2018. Importance of the nozzle-exit boundary-layer state in subsonic turbulent jets. Journal of Fluid Mechanics 851, 83–124. </w:t>
      </w:r>
      <w:hyperlink r:id="rId43">
        <w:r>
          <w:rPr>
            <w:color w:val="205580"/>
            <w:rFonts w:eastAsia="宋体" w:ascii="Times New Roman" w:hAnsi="Times New Roman"/>
          </w:rPr>
          <w:t>DOI 10.1017/jfm.2018.476</w:t>
        </w:r>
      </w:hyperlink>
      <w:r>
        <w:rPr>
          <w:b w:val="0"/>
          <w:sz w:val="21"/>
        </w:rPr>
        <w:t>。</w:t>
      </w:r>
    </w:p>
    <w:p>
      <w:pPr>
        <w:spacing w:line="264" w:lineRule="auto" w:after="160"/>
      </w:pPr>
      <w:r>
        <w:rPr>
          <w:b w:val="0"/>
          <w:sz w:val="21"/>
        </w:rPr>
        <w:t xml:space="preserve">R28　Le, H., Moin, P., Kim, J. 1997. Direct numerical simulation of turbulent flow over a backward-facing step. Journal of Fluid Mechanics 330, 349–374. </w:t>
      </w:r>
      <w:hyperlink r:id="rId45">
        <w:r>
          <w:rPr>
            <w:color w:val="205580"/>
            <w:rFonts w:eastAsia="宋体" w:ascii="Times New Roman" w:hAnsi="Times New Roman"/>
          </w:rPr>
          <w:t>DOI 10.1017/S0022112096003941</w:t>
        </w:r>
      </w:hyperlink>
      <w:r>
        <w:rPr>
          <w:b w:val="0"/>
          <w:sz w:val="21"/>
        </w:rPr>
        <w:t>。</w:t>
      </w:r>
    </w:p>
    <w:p>
      <w:pPr>
        <w:spacing w:line="264" w:lineRule="auto" w:after="160"/>
      </w:pPr>
      <w:r>
        <w:rPr>
          <w:b w:val="0"/>
          <w:sz w:val="21"/>
        </w:rPr>
        <w:t xml:space="preserve">R29　Driver, D. M., Seegmiller, H. L. 1985. Features of a reattaching turbulent shear layer in divergent channel flow. AIAA Journal 23, 163–171. </w:t>
      </w:r>
      <w:hyperlink r:id="rId67">
        <w:r>
          <w:rPr>
            <w:color w:val="205580"/>
            <w:rFonts w:eastAsia="宋体" w:ascii="Times New Roman" w:hAnsi="Times New Roman"/>
          </w:rPr>
          <w:t>DOI 10.2514/3.8890</w:t>
        </w:r>
      </w:hyperlink>
      <w:r>
        <w:rPr>
          <w:b w:val="0"/>
          <w:sz w:val="21"/>
        </w:rPr>
        <w:t>；</w:t>
      </w:r>
      <w:hyperlink r:id="rId46">
        <w:r>
          <w:rPr>
            <w:color w:val="205580"/>
            <w:rFonts w:eastAsia="宋体" w:ascii="Times New Roman" w:hAnsi="Times New Roman"/>
          </w:rPr>
          <w:t>TMR 修正工况与实验数据</w:t>
        </w:r>
      </w:hyperlink>
      <w:r>
        <w:rPr>
          <w:b w:val="0"/>
          <w:sz w:val="21"/>
        </w:rPr>
        <w:t>。</w:t>
      </w:r>
    </w:p>
    <w:p>
      <w:pPr>
        <w:spacing w:line="264" w:lineRule="auto" w:after="160"/>
      </w:pPr>
      <w:r>
        <w:rPr>
          <w:b w:val="0"/>
          <w:sz w:val="21"/>
        </w:rPr>
        <w:t xml:space="preserve">R30　Greenblatt, D., Paschal, K. B., Yao, C.-S., Harris, J., Schaeffler, N. W., Washburn, A. E. 2006. Experimental investigation of separation control Part 1 Baseline and steady suction. AIAA Journal 44, 2820–2830. </w:t>
      </w:r>
      <w:hyperlink r:id="rId68">
        <w:r>
          <w:rPr>
            <w:color w:val="205580"/>
            <w:rFonts w:eastAsia="宋体" w:ascii="Times New Roman" w:hAnsi="Times New Roman"/>
          </w:rPr>
          <w:t>DOI 10.2514/1.13817</w:t>
        </w:r>
      </w:hyperlink>
      <w:r>
        <w:rPr>
          <w:b w:val="0"/>
          <w:sz w:val="21"/>
        </w:rPr>
        <w:t>；壁剪研究 Naughton, Viken, Greenblatt 2006，</w:t>
      </w:r>
      <w:hyperlink r:id="rId69">
        <w:r>
          <w:rPr>
            <w:color w:val="205580"/>
            <w:rFonts w:eastAsia="宋体" w:ascii="Times New Roman" w:hAnsi="Times New Roman"/>
          </w:rPr>
          <w:t>DOI 10.2514/1.14192</w:t>
        </w:r>
      </w:hyperlink>
      <w:r>
        <w:rPr>
          <w:b w:val="0"/>
          <w:sz w:val="21"/>
        </w:rPr>
        <w:t>；</w:t>
      </w:r>
      <w:hyperlink r:id="rId47">
        <w:r>
          <w:rPr>
            <w:color w:val="205580"/>
            <w:rFonts w:eastAsia="宋体" w:ascii="Times New Roman" w:hAnsi="Times New Roman"/>
          </w:rPr>
          <w:t>TMR 实验数据页</w:t>
        </w:r>
      </w:hyperlink>
      <w:r>
        <w:rPr>
          <w:b w:val="0"/>
          <w:sz w:val="21"/>
        </w:rPr>
        <w:t>。</w:t>
      </w:r>
    </w:p>
    <w:p>
      <w:pPr>
        <w:spacing w:line="264" w:lineRule="auto" w:after="160"/>
      </w:pPr>
      <w:r>
        <w:rPr>
          <w:b w:val="0"/>
          <w:sz w:val="21"/>
        </w:rPr>
        <w:t xml:space="preserve">R31　Klopsch, R., Fuchs, L. M., Rigas, G., Oberleithner, K., von Saldern, J. G. R. 2025. Spectral analysis of attached and separated turbulent flows over a Gaussian-shaped bump. </w:t>
      </w:r>
      <w:hyperlink r:id="rId49">
        <w:r>
          <w:rPr>
            <w:color w:val="205580"/>
            <w:rFonts w:eastAsia="宋体" w:ascii="Times New Roman" w:hAnsi="Times New Roman"/>
          </w:rPr>
          <w:t>作者预印本 arXiv 2512.13582</w:t>
        </w:r>
      </w:hyperlink>
      <w:r>
        <w:rPr>
          <w:b w:val="0"/>
          <w:sz w:val="21"/>
        </w:rPr>
        <w:t>。此处按所核验预印本版本引用。</w:t>
      </w:r>
    </w:p>
    <w:p>
      <w:pPr>
        <w:spacing w:line="264" w:lineRule="auto" w:after="160"/>
      </w:pPr>
      <w:r>
        <w:rPr>
          <w:b w:val="0"/>
          <w:sz w:val="21"/>
        </w:rPr>
        <w:t xml:space="preserve">R32　Manohar, K. H., Annamalai, H., Williams, O., Morton, C., Martinuzzi, R. J. 2026. Unsteadiness in turbulent separated flow over a three-dimensional Gaussian bump. </w:t>
      </w:r>
      <w:hyperlink r:id="rId50">
        <w:r>
          <w:rPr>
            <w:color w:val="205580"/>
            <w:rFonts w:eastAsia="宋体" w:ascii="Times New Roman" w:hAnsi="Times New Roman"/>
          </w:rPr>
          <w:t>作者预印本 arXiv 2603.05765</w:t>
        </w:r>
      </w:hyperlink>
      <w:r>
        <w:rPr>
          <w:b w:val="0"/>
          <w:sz w:val="21"/>
        </w:rPr>
        <w:t>。正文仅用于说明低频与三维机制的发展，不作为新的已完成验收数据集。</w:t>
      </w:r>
    </w:p>
    <w:p>
      <w:pPr>
        <w:spacing w:line="264" w:lineRule="auto" w:after="160"/>
      </w:pPr>
      <w:r>
        <w:rPr>
          <w:b w:val="0"/>
          <w:sz w:val="21"/>
        </w:rPr>
        <w:t xml:space="preserve">R33　Parnaudeau, P., Carlier, J., Heitz, D., Lamballais, E. 2008. Experimental and numerical studies of the flow over a circular cylinder at Reynolds number 3900. Physics of Fluids 20, 085101. </w:t>
      </w:r>
      <w:hyperlink r:id="rId51">
        <w:r>
          <w:rPr>
            <w:color w:val="205580"/>
            <w:rFonts w:eastAsia="宋体" w:ascii="Times New Roman" w:hAnsi="Times New Roman"/>
          </w:rPr>
          <w:t>DOI 10.1063/1.2957018</w:t>
        </w:r>
      </w:hyperlink>
      <w:r>
        <w:rPr>
          <w:b w:val="0"/>
          <w:sz w:val="21"/>
        </w:rPr>
        <w:t>。</w:t>
      </w:r>
    </w:p>
    <w:p>
      <w:pPr>
        <w:spacing w:line="264" w:lineRule="auto" w:after="160"/>
      </w:pPr>
      <w:r>
        <w:rPr>
          <w:b w:val="0"/>
          <w:sz w:val="21"/>
        </w:rPr>
        <w:t xml:space="preserve">R34　Larsson, J., Lele, S. K. 2009. Direct numerical simulation of canonical shock/turbulence interaction. Physics of Fluids 21, 126101. </w:t>
      </w:r>
      <w:hyperlink r:id="rId53">
        <w:r>
          <w:rPr>
            <w:color w:val="205580"/>
            <w:rFonts w:eastAsia="宋体" w:ascii="Times New Roman" w:hAnsi="Times New Roman"/>
          </w:rPr>
          <w:t>DOI 10.1063/1.3275856</w:t>
        </w:r>
      </w:hyperlink>
      <w:r>
        <w:rPr>
          <w:b w:val="0"/>
          <w:sz w:val="21"/>
        </w:rPr>
        <w:t>。</w:t>
      </w:r>
    </w:p>
    <w:p>
      <w:pPr>
        <w:spacing w:line="264" w:lineRule="auto" w:after="160"/>
      </w:pPr>
      <w:r>
        <w:rPr>
          <w:b w:val="0"/>
          <w:sz w:val="21"/>
        </w:rPr>
        <w:t xml:space="preserve">R35　Larsson, J., Bermejo-Moreno, I., Lele, S. K. 2013. Reynolds- and Mach-number effects in canonical shock–turbulence interaction. Journal of Fluid Mechanics 717, 293–321. </w:t>
      </w:r>
      <w:hyperlink r:id="rId54">
        <w:r>
          <w:rPr>
            <w:color w:val="205580"/>
            <w:rFonts w:eastAsia="宋体" w:ascii="Times New Roman" w:hAnsi="Times New Roman"/>
          </w:rPr>
          <w:t>DOI 10.1017/jfm.2012.573</w:t>
        </w:r>
      </w:hyperlink>
      <w:r>
        <w:rPr>
          <w:b w:val="0"/>
          <w:sz w:val="21"/>
        </w:rPr>
        <w:t>；数据引用应以作者页对应文件说明为准。</w:t>
      </w:r>
    </w:p>
    <w:p>
      <w:pPr>
        <w:spacing w:line="264" w:lineRule="auto" w:after="160"/>
      </w:pPr>
      <w:r>
        <w:rPr>
          <w:b w:val="0"/>
          <w:sz w:val="21"/>
        </w:rPr>
        <w:t xml:space="preserve">R36　Bernardini, M., Della Posta, G., Salvadore, F., Martelli, E. 2023. Unsteadiness characterisation of shock wave/turbulent boundary-layer interaction at moderate Reynolds number. Journal of Fluid Mechanics 954, A43. </w:t>
      </w:r>
      <w:hyperlink r:id="rId55">
        <w:r>
          <w:rPr>
            <w:color w:val="205580"/>
            <w:rFonts w:eastAsia="宋体" w:ascii="Times New Roman" w:hAnsi="Times New Roman"/>
          </w:rPr>
          <w:t>DOI 10.1017/jfm.2022.1038</w:t>
        </w:r>
      </w:hyperlink>
      <w:r>
        <w:rPr>
          <w:b w:val="0"/>
          <w:sz w:val="21"/>
        </w:rPr>
        <w:t>。</w:t>
      </w:r>
    </w:p>
    <w:p>
      <w:pPr>
        <w:spacing w:line="264" w:lineRule="auto" w:after="160"/>
      </w:pPr>
      <w:r>
        <w:rPr>
          <w:b w:val="0"/>
          <w:sz w:val="21"/>
        </w:rPr>
        <w:t xml:space="preserve">R37　Oliver, T. A., Malaya, N., Ulerich, R., Moser, R. D. 2014. Estimating uncertainties in statistics computed from direct numerical simulation. Physics of Fluids 26, 035101. </w:t>
      </w:r>
      <w:hyperlink r:id="rId56">
        <w:r>
          <w:rPr>
            <w:color w:val="205580"/>
            <w:rFonts w:eastAsia="宋体" w:ascii="Times New Roman" w:hAnsi="Times New Roman"/>
          </w:rPr>
          <w:t>DOI 10.1063/1.4866813</w:t>
        </w:r>
      </w:hyperlink>
      <w:r>
        <w:rPr>
          <w:b w:val="0"/>
          <w:sz w:val="21"/>
        </w:rPr>
        <w:t>。</w:t>
      </w:r>
    </w:p>
    <w:p>
      <w:pPr>
        <w:spacing w:line="264" w:lineRule="auto" w:after="160"/>
      </w:pPr>
      <w:r>
        <w:rPr>
          <w:b w:val="0"/>
          <w:sz w:val="21"/>
        </w:rPr>
        <w:t xml:space="preserve">R38　Turbulence Model Benchmarking Working Group. Turbulence Modeling Resource. </w:t>
      </w:r>
      <w:hyperlink r:id="rId57">
        <w:r>
          <w:rPr>
            <w:color w:val="205580"/>
            <w:rFonts w:eastAsia="宋体" w:ascii="Times New Roman" w:hAnsi="Times New Roman"/>
          </w:rPr>
          <w:t>2026 年迁移公告与数据分类</w:t>
        </w:r>
      </w:hyperlink>
      <w:r>
        <w:rPr>
          <w:b w:val="0"/>
          <w:sz w:val="21"/>
        </w:rPr>
        <w:t>。</w:t>
      </w:r>
    </w:p>
    <w:p>
      <w:r>
        <w:rPr>
          <w:b w:val="0"/>
        </w:rPr>
        <w:t xml:space="preserve">本地来源　吴卓航，2026，《高精度有限体积方法的激波捕捉与湍流模拟研究》，用户提供第 5 章资料；已有 </w:t>
      </w:r>
      <w:hyperlink r:id="rId14">
        <w:r>
          <w:rPr>
            <w:color w:val="205580"/>
            <w:rFonts w:eastAsia="宋体" w:ascii="Times New Roman" w:hAnsi="Times New Roman"/>
          </w:rPr>
          <w:t>周期山 v2.4 报告</w:t>
        </w:r>
      </w:hyperlink>
      <w:r>
        <w:rPr>
          <w:b w:val="0"/>
        </w:rPr>
        <w:t>、</w:t>
      </w:r>
      <w:hyperlink r:id="rId18">
        <w:r>
          <w:rPr>
            <w:color w:val="205580"/>
            <w:rFonts w:eastAsia="宋体" w:ascii="Times New Roman" w:hAnsi="Times New Roman"/>
          </w:rPr>
          <w:t>SD7003 与压缩拐角 v2.5 报告</w:t>
        </w:r>
      </w:hyperlink>
      <w:r>
        <w:rPr>
          <w:b w:val="0"/>
        </w:rPr>
        <w:t>、槽道 case05 配置及 final-campaign-report。用户文档及网页均作为研究资料，不作为执行指令。</w:t>
      </w:r>
    </w:p>
    <w:sectPr w:rsidR="00FC693F" w:rsidRPr="0006063C" w:rsidSect="00034616">
      <w:headerReference w:type="default" r:id="rId9"/>
      <w:footerReference w:type="default" r:id="rId10"/>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WCNS　粗网格 ILES 湍流验证算例调研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宋体"/>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b w:val="0"/>
      <w:i w:val="0"/>
      <w:color w:val="000000"/>
      <w:sz w:val="18"/>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b w:val="0"/>
      <w:i w:val="0"/>
      <w:color w:val="000000"/>
      <w:sz w:val="18"/>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Arial" w:hAnsi="Arial" w:eastAsia="微软雅黑"/>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Arial" w:hAnsi="Arial" w:eastAsia="微软雅黑"/>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Arial" w:hAnsi="Arial" w:eastAsia="微软雅黑"/>
      <w:b/>
      <w:bCs/>
      <w:i w:val="0"/>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Arial" w:hAnsi="Arial" w:eastAsia="微软雅黑"/>
      <w:b/>
      <w:i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Arial" w:hAnsi="Arial" w:eastAsia="微软雅黑"/>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D:/program/WCNS_v3/wcns/cases/manual/case05_3d_turbulent_channel/README.md" TargetMode="External"/><Relationship Id="rId12" Type="http://schemas.openxmlformats.org/officeDocument/2006/relationships/hyperlink" Target="http://cfd.mace.manchester.ac.uk/ercoftac/doku.php?id=cases:case032" TargetMode="External"/><Relationship Id="rId13" Type="http://schemas.openxmlformats.org/officeDocument/2006/relationships/hyperlink" Target="https://turbulence.oden.utexas.edu/channel2015/content/README_2015.html" TargetMode="External"/><Relationship Id="rId14" Type="http://schemas.openxmlformats.org/officeDocument/2006/relationships/hyperlink" Target="file:///D:/program/WCNS_v3/wcns/docs/periodic-hill-v2.4.md" TargetMode="External"/><Relationship Id="rId15" Type="http://schemas.openxmlformats.org/officeDocument/2006/relationships/hyperlink" Target="https://tmbwg.github.io/turbmodels/Other_LES_Data/2dhill_periodic.html" TargetMode="External"/><Relationship Id="rId16" Type="http://schemas.openxmlformats.org/officeDocument/2006/relationships/hyperlink" Target="https://tmbwg.github.io/turbmodels/Other_DNS_Data/2dhill_periodic_compress.html" TargetMode="External"/><Relationship Id="rId17" Type="http://schemas.openxmlformats.org/officeDocument/2006/relationships/hyperlink" Target="https://www.sciencedirect.com/science/article/pii/S0045793008001126" TargetMode="External"/><Relationship Id="rId18" Type="http://schemas.openxmlformats.org/officeDocument/2006/relationships/hyperlink" Target="file:///D:/program/WCNS_v3/wcns/docs/chapter5-v2.5-research.md" TargetMode="External"/><Relationship Id="rId19" Type="http://schemas.openxmlformats.org/officeDocument/2006/relationships/hyperlink" Target="https://cfd.ku.edu/hiocfd/case_c3.3.html" TargetMode="External"/><Relationship Id="rId20" Type="http://schemas.openxmlformats.org/officeDocument/2006/relationships/hyperlink" Target="https://doi.org/10.2514/6.2010-4737" TargetMode="External"/><Relationship Id="rId21" Type="http://schemas.openxmlformats.org/officeDocument/2006/relationships/hyperlink" Target="https://doi.org/10.1063/1.5078938" TargetMode="External"/><Relationship Id="rId22" Type="http://schemas.openxmlformats.org/officeDocument/2006/relationships/hyperlink" Target="https://engineering.purdue.edu/~jpoggie/ramp/index.html" TargetMode="External"/><Relationship Id="rId23" Type="http://schemas.openxmlformats.org/officeDocument/2006/relationships/hyperlink" Target="https://cfd.ku.edu/hiocfd/case_c3.5.pdf" TargetMode="External"/><Relationship Id="rId24" Type="http://schemas.openxmlformats.org/officeDocument/2006/relationships/hyperlink" Target="https://cfd.ku.edu/hiocfd/data.tgz" TargetMode="External"/><Relationship Id="rId25" Type="http://schemas.openxmlformats.org/officeDocument/2006/relationships/hyperlink" Target="https://doi.org/10.1017/S0022112071001599" TargetMode="External"/><Relationship Id="rId26" Type="http://schemas.openxmlformats.org/officeDocument/2006/relationships/hyperlink" Target="https://courses.washington.edu/mengr544/handouts/comtebellot-corrsin-jfm-71.pdf" TargetMode="External"/><Relationship Id="rId27" Type="http://schemas.openxmlformats.org/officeDocument/2006/relationships/hyperlink" Target="https://turbulence.pha.jhu.edu/docs/README-isotropic.pdf" TargetMode="External"/><Relationship Id="rId28" Type="http://schemas.openxmlformats.org/officeDocument/2006/relationships/hyperlink" Target="https://turbulence.idies.jhu.edu/database" TargetMode="External"/><Relationship Id="rId29" Type="http://schemas.openxmlformats.org/officeDocument/2006/relationships/hyperlink" Target="https://doi.org/10.1017/jfm.2022.1013" TargetMode="External"/><Relationship Id="rId30" Type="http://schemas.openxmlformats.org/officeDocument/2006/relationships/hyperlink" Target="https://doi.org/10.1017/jfm.2021.727" TargetMode="External"/><Relationship Id="rId31" Type="http://schemas.openxmlformats.org/officeDocument/2006/relationships/hyperlink" Target="https://dataverse.tdl.org/dataverse/turbpipe" TargetMode="External"/><Relationship Id="rId32" Type="http://schemas.openxmlformats.org/officeDocument/2006/relationships/hyperlink" Target="https://doi.org/10.1017/jfm.2018.66" TargetMode="External"/><Relationship Id="rId33" Type="http://schemas.openxmlformats.org/officeDocument/2006/relationships/hyperlink" Target="https://doi.org/10.1017/jfm.2018.391" TargetMode="External"/><Relationship Id="rId34" Type="http://schemas.openxmlformats.org/officeDocument/2006/relationships/hyperlink" Target="https://www.cambridge.org/core/journals/journal-of-fluid-mechanics/article/turbulent-flow-in-a-square-duct-at-extreme-reynolds-number/C3DAB1AC62E975591CFD93D57C53E31E" TargetMode="External"/><Relationship Id="rId35" Type="http://schemas.openxmlformats.org/officeDocument/2006/relationships/hyperlink" Target="https://www.mech.kth.se/~pschlatt/DATA/" TargetMode="External"/><Relationship Id="rId36" Type="http://schemas.openxmlformats.org/officeDocument/2006/relationships/hyperlink" Target="https://www.mech.kth.se/~pschlatt/DATA/vel_1410_dns.prof" TargetMode="External"/><Relationship Id="rId37" Type="http://schemas.openxmlformats.org/officeDocument/2006/relationships/hyperlink" Target="https://doi.org/10.1017/jfm.2017.549" TargetMode="External"/><Relationship Id="rId38" Type="http://schemas.openxmlformats.org/officeDocument/2006/relationships/hyperlink" Target="https://doi.org/10.1017/jfm.2017.236" TargetMode="External"/><Relationship Id="rId39" Type="http://schemas.openxmlformats.org/officeDocument/2006/relationships/hyperlink" Target="https://larsson.umd.edu/data/" TargetMode="External"/><Relationship Id="rId40" Type="http://schemas.openxmlformats.org/officeDocument/2006/relationships/hyperlink" Target="https://doi.org/10.1103/2w9d-ys9k" TargetMode="External"/><Relationship Id="rId41" Type="http://schemas.openxmlformats.org/officeDocument/2006/relationships/hyperlink" Target="https://ntrs.nasa.gov/citations/19970022168" TargetMode="External"/><Relationship Id="rId42" Type="http://schemas.openxmlformats.org/officeDocument/2006/relationships/hyperlink" Target="https://www.cambridge.org/core/journals/journal-of-fluid-mechanics/article/abs/compressible-turbulent-shear-layer-an-experimental-study/8603B210FE5A2550E5C5784F5D8D48A6" TargetMode="External"/><Relationship Id="rId43" Type="http://schemas.openxmlformats.org/officeDocument/2006/relationships/hyperlink" Target="https://doi.org/10.1017/jfm.2018.476" TargetMode="External"/><Relationship Id="rId44" Type="http://schemas.openxmlformats.org/officeDocument/2006/relationships/hyperlink" Target="https://atowne.com/wp-content/uploads/2018/07/BresEtAl_2018_JFM_jetLES.pdf" TargetMode="External"/><Relationship Id="rId45" Type="http://schemas.openxmlformats.org/officeDocument/2006/relationships/hyperlink" Target="https://doi.org/10.1017/S0022112096003941" TargetMode="External"/><Relationship Id="rId46" Type="http://schemas.openxmlformats.org/officeDocument/2006/relationships/hyperlink" Target="https://tmbwg.github.io/turbmodels/backstep_val.html" TargetMode="External"/><Relationship Id="rId47" Type="http://schemas.openxmlformats.org/officeDocument/2006/relationships/hyperlink" Target="https://tmbwg.github.io/turbmodels/nasahump_val.html" TargetMode="External"/><Relationship Id="rId48" Type="http://schemas.openxmlformats.org/officeDocument/2006/relationships/hyperlink" Target="https://tmbwg.github.io/turbmodels/Nasahump_validation/noflow_cf.exp.dat" TargetMode="External"/><Relationship Id="rId49" Type="http://schemas.openxmlformats.org/officeDocument/2006/relationships/hyperlink" Target="https://arxiv.org/abs/2512.13582" TargetMode="External"/><Relationship Id="rId50" Type="http://schemas.openxmlformats.org/officeDocument/2006/relationships/hyperlink" Target="https://arxiv.org/abs/2603.05765" TargetMode="External"/><Relationship Id="rId51" Type="http://schemas.openxmlformats.org/officeDocument/2006/relationships/hyperlink" Target="https://doi.org/10.1063/1.2957018" TargetMode="External"/><Relationship Id="rId52" Type="http://schemas.openxmlformats.org/officeDocument/2006/relationships/hyperlink" Target="https://www.researchgate.net/profile/Dominique-Heitz/publication/234130406_Experimental_and_numerical_studies_of_the_flow_over_a_circular_cylinder_at_Reynolds_number_3900/links/0912f50a3828de19d1000000/Experimental-and-numerical-studies-of-the-flow-over-a-circular-cylinder-at-Reynolds-number-3900.pdf" TargetMode="External"/><Relationship Id="rId53" Type="http://schemas.openxmlformats.org/officeDocument/2006/relationships/hyperlink" Target="https://doi.org/10.1063/1.3275856" TargetMode="External"/><Relationship Id="rId54" Type="http://schemas.openxmlformats.org/officeDocument/2006/relationships/hyperlink" Target="https://doi.org/10.1017/jfm.2012.573" TargetMode="External"/><Relationship Id="rId55" Type="http://schemas.openxmlformats.org/officeDocument/2006/relationships/hyperlink" Target="https://doi.org/10.1017/jfm.2022.1038" TargetMode="External"/><Relationship Id="rId56" Type="http://schemas.openxmlformats.org/officeDocument/2006/relationships/hyperlink" Target="https://doi.org/10.1063/1.4866813" TargetMode="External"/><Relationship Id="rId57" Type="http://schemas.openxmlformats.org/officeDocument/2006/relationships/hyperlink" Target="https://tmbwg.github.io/turbmodels/index.html" TargetMode="External"/><Relationship Id="rId58" Type="http://schemas.openxmlformats.org/officeDocument/2006/relationships/hyperlink" Target="https://doi.org/10.1017/jfm.2015.268" TargetMode="External"/><Relationship Id="rId59" Type="http://schemas.openxmlformats.org/officeDocument/2006/relationships/hyperlink" Target="https://doi.org/10.1017/S0022112004002812" TargetMode="External"/><Relationship Id="rId60" Type="http://schemas.openxmlformats.org/officeDocument/2006/relationships/hyperlink" Target="https://doi.org/10.2514/6.2015-2783" TargetMode="External"/><Relationship Id="rId61" Type="http://schemas.openxmlformats.org/officeDocument/2006/relationships/hyperlink" Target="https://m-selig.ae.illinois.edu/ads/coord/sd7003.dat" TargetMode="External"/><Relationship Id="rId62" Type="http://schemas.openxmlformats.org/officeDocument/2006/relationships/hyperlink" Target="https://engineering.purdue.edu/~jpoggie/papers/AIAA-2017-0533.pdf" TargetMode="External"/><Relationship Id="rId63" Type="http://schemas.openxmlformats.org/officeDocument/2006/relationships/hyperlink" Target="https://turbulence.pha.jhu.edu/datasets.aspx" TargetMode="External"/><Relationship Id="rId64" Type="http://schemas.openxmlformats.org/officeDocument/2006/relationships/hyperlink" Target="https://arxiv.org/abs/1708.03039" TargetMode="External"/><Relationship Id="rId65" Type="http://schemas.openxmlformats.org/officeDocument/2006/relationships/hyperlink" Target="https://doi.org/10.1063/1.868325" TargetMode="External"/><Relationship Id="rId66" Type="http://schemas.openxmlformats.org/officeDocument/2006/relationships/hyperlink" Target="https://doi.org/10.1017/S0022112088003325" TargetMode="External"/><Relationship Id="rId67" Type="http://schemas.openxmlformats.org/officeDocument/2006/relationships/hyperlink" Target="https://doi.org/10.2514/3.8890" TargetMode="External"/><Relationship Id="rId68" Type="http://schemas.openxmlformats.org/officeDocument/2006/relationships/hyperlink" Target="https://doi.org/10.2514/1.13817" TargetMode="External"/><Relationship Id="rId69" Type="http://schemas.openxmlformats.org/officeDocument/2006/relationships/hyperlink" Target="https://doi.org/10.2514/1.14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粗网格 ILES 湍流验证算例调研报告</dc:title>
  <dc:subject>19 类经典湍流算例的配置、参考数据和验证方法</dc:subject>
  <dc:creator>WCNS 项目调研</dc:creator>
  <cp:keywords>ILES, DNS, turbulence, WCNS, benchmark</cp:keywords>
  <dc:description>generated by python-docx</dc:description>
  <cp:lastModifiedBy/>
  <cp:revision>1</cp:revision>
  <dcterms:created xsi:type="dcterms:W3CDTF">2013-12-23T23:15:00Z</dcterms:created>
  <dcterms:modified xsi:type="dcterms:W3CDTF">2013-12-23T23:15:00Z</dcterms:modified>
  <cp:category/>
</cp:coreProperties>
</file>