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0B7A59"/>
          <w:sz w:val="40"/>
        </w:rPr>
        <w:t>各单位AI探索方向与标杆复制建议报告</w:t>
      </w:r>
    </w:p>
    <w:p>
      <w:pPr>
        <w:jc w:val="center"/>
      </w:pPr>
      <w:r>
        <w:rPr>
          <w:rFonts w:ascii="Arial" w:hAnsi="Arial" w:eastAsia="微软雅黑"/>
          <w:color w:val="6B7280"/>
          <w:sz w:val="22"/>
        </w:rPr>
        <w:t>由“试点部门选择”调整为全单位探索和标杆复制机制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568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编制单位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主线依据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领导确定的AI应用专题研讨会会议议程及《安居建业AI应用推动工作方案（竹网行动）》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工作周期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2026年6月至12月，按会后2周/1个月/2个月及年底节点推进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经费口径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AI兴趣协会按3万元/年工具支持执行，采用“使用换分享”机制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版本状态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建议报告审阅稿，按领导方案修订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编制日期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2026年6月4日</w:t>
            </w:r>
          </w:p>
        </w:tc>
      </w:tr>
    </w:tbl>
    <w:p/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统一口径：竹网行动、AI兴趣协会、薪火计划、平台协同、3万元/年、使用换分享、会后2周/1个月/2个月、OA模块。</w:t>
      </w:r>
    </w:p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核心建议：不再把少数部门先选为固定重点试点，而是所有单位先进入探索网络；资源向可分享、可复制、可固化的方向滚动倾斜。</w:t>
      </w:r>
    </w:p>
    <w:p>
      <w:pPr>
        <w:pStyle w:val="Heading1"/>
      </w:pPr>
      <w:r>
        <w:t>一、调整原则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执行口径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全员开放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AI兴趣协会面向全员开放，先形成个人层面的兴趣和使用基础。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全单位覆盖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各单位均确认对接人和2-3个探索方向，避免只做少数试点。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资源滚动支持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3万元/年工具支持优先给能按“使用换分享”输出经验的成员和方向。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标杆复制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不以一次性展示为目标，而以跨单位经验复制和OA模块固化为成果出口。</w:t>
            </w:r>
          </w:p>
        </w:tc>
      </w:tr>
    </w:tbl>
    <w:p/>
    <w:p>
      <w:pPr>
        <w:pStyle w:val="Heading1"/>
      </w:pPr>
      <w:r>
        <w:t>二、建议探索主题分组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单位类型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建议探索方向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推进建议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运营、综合、人力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周报和材料收集、公文/OA材料、制度问答、培训课件、会议纪要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适合作为薪火计划首批低敏主题，并沉淀共享模板。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营销、商办、项目营销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宣传图文、话术方案、例行报告、业务资料库、进度提醒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先以工具实操和资料库方法扩散，再筛选可复制案例。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产品、工程、项目管理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设计方案比选、工程报告、流程跟踪、资料归档、汇报可视化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以人工复核和受控资料为前提，重点看流程减负和质量提升。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成本、财务、风控法务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清单复核、财务数据整合、对账归档、异常线索、合同材料辅助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高风险场景只做辅助核验和材料准备，不替代专业结论。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投资、城市更新、属地公司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项目信息核验、政策资料梳理、测算辅助、报告议案初稿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先做一页纸探索计划，再决定是否进入标杆案例或OA模块候选。</w:t>
            </w:r>
          </w:p>
        </w:tc>
      </w:tr>
    </w:tbl>
    <w:p/>
    <w:p>
      <w:pPr>
        <w:pStyle w:val="Heading1"/>
      </w:pPr>
      <w:r>
        <w:t>三、优先进入薪火计划的主题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工具破冰和安全边界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全员兴趣启动，帮助员工知道能用什么、不能用什么。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公文/OA材料和会议纪要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低敏、高频、易实操，适合快速降低重复劳动。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Excel与数据整理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员工需求集中，可服务财务、运营、工程、营销等多类场景。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知识检索与制度问答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可逐步沉淀为共享资料库和OA模块候选。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周报和材料收集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流程稳定、跨单位共性强，适合形成标杆案例。</w:t>
            </w:r>
          </w:p>
        </w:tc>
      </w:tr>
    </w:tbl>
    <w:p/>
    <w:p>
      <w:pPr>
        <w:pStyle w:val="Heading1"/>
      </w:pPr>
      <w:r>
        <w:t>四、推进节奏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工作线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关键动作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发布招募公告，首批成员入群，开通付费AI工具。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启动首批分享，围绕工具破冰和安全边界做实操。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确认AI对接人，选定2-3个探索方向，一句话描述即可。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召开首次线下交流会，形成“使用换分享”记录。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完成6月主题收官，归档录屏资料，同步发布薪火需求池。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提交一页纸AI探索计划，说明探索内容、预期收获和所需支持。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从活跃成员中识别潜在分享人，推荐进入薪火计划。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启动7月场景渗透主题，如公文、Excel、会议纪要等。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召开AI应用交流会，汇报初步探索情况；不要求成果展示，可说明路线不通和调整方向。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开展年度优秀会员表彰，形成下年度规划。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表彰优秀分享人，发布年度知识库。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各单位/平台协同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完成年度AI应用总结，推动标杆案例跨单位复制，成熟场景纳入OA模块规划。</w:t>
            </w:r>
          </w:p>
        </w:tc>
      </w:tr>
    </w:tbl>
    <w:p/>
    <w:p>
      <w:pPr>
        <w:pStyle w:val="Heading1"/>
      </w:pPr>
      <w:r>
        <w:t>五、资源排序建议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优先支持愿意分享、能形成录屏或模板的成员和场景。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优先支持低敏、高频、容易复用的探索方向，先形成正反馈。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对投资、设计、工程、成本、财务、法务、人力等专业场景，资源支持以辅助核验和材料准备为主，必须保留人工复核。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成熟场景不直接宣布推广，先经过交流会复盘和跨单位复制验证，再进入OA模块规划。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B7A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A5D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8A4B0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试点部门选择建议报告_审阅稿</dc:title>
  <dc:subject/>
  <dc:creator>深圳市安居建业投资运营有限公司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