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B7A59"/>
          <w:sz w:val="40"/>
        </w:rPr>
        <w:t>AI兴趣协会章程草案</w:t>
      </w:r>
    </w:p>
    <w:p>
      <w:pPr>
        <w:jc w:val="center"/>
      </w:pPr>
      <w:r>
        <w:rPr>
          <w:rFonts w:ascii="Arial" w:hAnsi="Arial" w:eastAsia="微软雅黑"/>
          <w:color w:val="6B7280"/>
          <w:sz w:val="22"/>
        </w:rPr>
        <w:t>竹网行动配套治理制度（按领导方案修订）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568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编制单位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主线依据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领导确定的AI应用专题研讨会会议议程及《安居建业AI应用推动工作方案（竹网行动）》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工作周期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2026年6月至12月，按会后2周/1个月/2个月及年底节点推进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经费口径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AI兴趣协会按3万元/年工具支持执行，采用“使用换分享”机制</w:t>
            </w:r>
          </w:p>
        </w:tc>
      </w:tr>
      <w:tr>
        <w:tc>
          <w:tcPr>
            <w:tcW w:type="dxa" w:w="1944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版本状态</w:t>
            </w:r>
          </w:p>
        </w:tc>
        <w:tc>
          <w:tcPr>
            <w:tcW w:type="dxa" w:w="8568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审阅稿，按领导方案修订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编制日期</w:t>
            </w:r>
          </w:p>
        </w:tc>
        <w:tc>
          <w:tcPr>
            <w:tcW w:type="dxa" w:w="8568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2026年6月4日</w:t>
            </w:r>
          </w:p>
        </w:tc>
      </w:tr>
    </w:tbl>
    <w:p/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统一口径：竹网行动、AI兴趣协会、薪火计划、平台协同、3万元/年、使用换分享、会后2周/1个月/2个月、OA模块。</w:t>
      </w:r>
    </w:p>
    <w:p>
      <w:pPr>
        <w:spacing w:before="120" w:after="160"/>
        <w:ind w:left="173"/>
      </w:pPr>
      <w:r>
        <w:rPr>
          <w:rFonts w:ascii="Arial" w:hAnsi="Arial" w:eastAsia="微软雅黑"/>
          <w:b/>
          <w:color w:val="0B7A59"/>
          <w:sz w:val="22"/>
        </w:rPr>
        <w:t>定位：AI兴趣协会是公司内部员工AI应用推动力量，不是传统运动兴趣协会；它承担播种机作用，让AI的种子在员工中自然扎根。</w:t>
      </w:r>
    </w:p>
    <w:p>
      <w:pPr>
        <w:pStyle w:val="Heading1"/>
      </w:pPr>
      <w:r>
        <w:t>第一章  总则</w:t>
      </w:r>
    </w:p>
    <w:p>
      <w:pPr>
        <w:pStyle w:val="ListNumber"/>
        <w:spacing w:after="60"/>
        <w:ind w:left="346"/>
      </w:pPr>
      <w:r>
        <w:rPr>
          <w:rFonts w:ascii="Arial" w:hAnsi="Arial" w:eastAsia="微软雅黑"/>
          <w:sz w:val="21"/>
        </w:rPr>
        <w:t>为承接安居集团AI应用“三个一”行动，推动员工掌握一个AI工具、各单位新增一个业务场景、公司建立一个核心场景，制定本章程。</w:t>
      </w:r>
    </w:p>
    <w:p>
      <w:pPr>
        <w:pStyle w:val="ListNumber"/>
        <w:spacing w:after="60"/>
        <w:ind w:left="346"/>
      </w:pPr>
      <w:r>
        <w:rPr>
          <w:rFonts w:ascii="Arial" w:hAnsi="Arial" w:eastAsia="微软雅黑"/>
          <w:sz w:val="21"/>
        </w:rPr>
        <w:t>协会以“竹网行动”为工作代号，遵循破土、拔节、成林、扎根四步逻辑：从基层自发冒出兴趣，以点带面快速生长，各单位经验共创共享，最终固化为系统能力。</w:t>
      </w:r>
    </w:p>
    <w:p>
      <w:pPr>
        <w:pStyle w:val="ListNumber"/>
        <w:spacing w:after="60"/>
        <w:ind w:left="346"/>
      </w:pPr>
      <w:r>
        <w:rPr>
          <w:rFonts w:ascii="Arial" w:hAnsi="Arial" w:eastAsia="微软雅黑"/>
          <w:sz w:val="21"/>
        </w:rPr>
        <w:t>协会坚持兴趣驱动、以点带面、渐进深入、务实分享、安全可控、人工负责的原则。</w:t>
      </w:r>
    </w:p>
    <w:p>
      <w:pPr>
        <w:pStyle w:val="ListNumber"/>
        <w:spacing w:after="60"/>
        <w:ind w:left="346"/>
      </w:pPr>
      <w:r>
        <w:rPr>
          <w:rFonts w:ascii="Arial" w:hAnsi="Arial" w:eastAsia="微软雅黑"/>
          <w:sz w:val="21"/>
        </w:rPr>
        <w:t>问卷和各单位场景清单作为支撑材料使用，不能替代领导确定的执行主线。</w:t>
      </w:r>
    </w:p>
    <w:p>
      <w:pPr>
        <w:pStyle w:val="Heading1"/>
      </w:pPr>
      <w:r>
        <w:t>第二章  组织架构与职责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播种机：传播兴趣种子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定位为员工AI应用推动力量，承担工作推动会议、兴趣传播、工具使用、经验汇报和会员培育。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催化剂：润滑和燃料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把零散兴趣和能力转化为可复用知识资产，降低“想用但不会”的阻力，激励先行者持续分享。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平台协同支撑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孵化场：平台建设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由公司领导、各单位和人力资源中心共同形成支撑平台，推动业务场景落地和OA模块建设。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公司领导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方向牵引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明确AI应用后续执行方向，支持平台协同和成熟场景固化。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人力资源中心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组织协调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组织协会运行、薪火计划、资料归档、OA模块协同建设和推进汇报。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各单位AI对接人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业务探索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会后2周确认对接人和2-3个探索方向，会后1个月提交一页纸AI探索计划，会后2个月参加AI应用交流会。</w:t>
            </w:r>
          </w:p>
        </w:tc>
      </w:tr>
    </w:tbl>
    <w:p/>
    <w:p>
      <w:pPr>
        <w:pStyle w:val="Heading1"/>
      </w:pPr>
      <w:r>
        <w:t>第三章  会员与工具支持机制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协会面向全体员工开放，不限制岗位、不限制技术基础，鼓励零门槛加入。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公司支持3万元/年，用于采购商用AI工具会员及付费工具额度。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工具额度实行“使用换分享”：申领付费工具额度的成员，按月在内部分享使用经验、实操案例或踩坑记录。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协会每月由程总主持召开一次AI应用推动工作会议，协会向公司汇报推进情况、研讨阶段重点方向，确保工作持续落地。</w:t>
      </w:r>
    </w:p>
    <w:p>
      <w:pPr>
        <w:pStyle w:val="Heading1"/>
      </w:pPr>
      <w:r>
        <w:t>第四章  薪火计划与知识沉淀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定位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连接协会与各单位的转化机制，把兴趣和能力转化为可复用知识资产。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润滑作用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降低各单位启动AI应用的技能门槛，让“想用但不会”的员工快速上手。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燃料作用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给予分享者授课补助，具体标准按公司制度执行，激励先行者持续分享。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形式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每月2-3场内部分享，线下带电脑实操，全程录屏归档。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机制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员工提需求、协会认领、分享人钻研、线下分享，形成需求驱动闭环。</w:t>
            </w:r>
          </w:p>
        </w:tc>
      </w:tr>
    </w:tbl>
    <w:p/>
    <w:p>
      <w:pPr>
        <w:pStyle w:val="Heading1"/>
      </w:pPr>
      <w:r>
        <w:t>第五章  各单位探索与平台协同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时间节点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工作线</w:t>
            </w:r>
          </w:p>
        </w:tc>
        <w:tc>
          <w:tcPr>
            <w:tcW w:type="dxa" w:w="3331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关键动作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发布招募公告，首批成员入群，开通付费AI工具。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启动首批分享，围绕工具破冰和安全边界做实操。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会后2周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确认AI对接人，选定2-3个探索方向，一句话描述即可。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召开首次线下交流会，形成“使用换分享”记录。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完成6月主题收官，归档录屏资料，同步发布薪火需求池。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会后1个月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提交一页纸AI探索计划，说明探索内容、预期收获和所需支持。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从活跃成员中识别潜在分享人，推荐进入薪火计划。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启动7月场景渗透主题，如公文、Excel、会议纪要等。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会后2个月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召开AI应用交流会，汇报初步探索情况；不要求成果展示，可说明路线不通和调整方向。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AI兴趣协会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开展年度优秀会员表彰，形成下年度规划。</w:t>
            </w:r>
          </w:p>
        </w:tc>
      </w:tr>
      <w:tr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薪火计划</w:t>
            </w:r>
          </w:p>
        </w:tc>
        <w:tc>
          <w:tcPr>
            <w:tcW w:type="dxa" w:w="3331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表彰优秀分享人，发布年度知识库。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年底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各单位/平台协同</w:t>
            </w:r>
          </w:p>
        </w:tc>
        <w:tc>
          <w:tcPr>
            <w:tcW w:type="dxa" w:w="3331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完成年度AI应用总结，推动标杆案例跨单位复制，成熟场景纳入OA模块规划。</w:t>
            </w:r>
          </w:p>
        </w:tc>
      </w:tr>
    </w:tbl>
    <w:p/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各单位负责本业务领域AI场景应用探索与落地，协会和人力资源中心提供赋能支持。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成熟场景经跨单位复制验证后，纳入OA模块规划，把个人自发应用提升为系统级嵌入。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平台协同支撑由公司领导、各单位、人力资源中心共同参与，形成孵化场和平台建设能力。</w:t>
      </w:r>
    </w:p>
    <w:p>
      <w:pPr>
        <w:pStyle w:val="Heading1"/>
      </w:pPr>
      <w:r>
        <w:t>第六章  安全边界与成果管理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997"/>
            <w:vAlign w:val="center"/>
            <w:shd w:fill="0B7A5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/>
                <w:color w:val="FFFFFF"/>
                <w:sz w:val="19"/>
              </w:rPr>
              <w:t>执行要求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数据边界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不得上传涉密、敏感、个人信息或未经授权的数据；可先使用公开资料、脱敏样例和低敏材料。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人工责任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AI用于辅助消化信息、生成初稿、整理格式和提醒事项，专业判断、审批和最终输出仍由人员负责。</w:t>
            </w:r>
          </w:p>
        </w:tc>
      </w:tr>
      <w:tr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记录留痕</w:t>
            </w:r>
          </w:p>
        </w:tc>
        <w:tc>
          <w:tcPr>
            <w:tcW w:type="dxa" w:w="4997"/>
            <w:vAlign w:val="center"/>
            <w:shd w:fill="F7FBF8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分享、试用和交流会材料应留存主题、需求来源、使用工具、边界说明和可复用模板。</w:t>
            </w:r>
          </w:p>
        </w:tc>
      </w:tr>
      <w:tr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平台固化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Arial" w:hAnsi="Arial" w:eastAsia="微软雅黑"/>
                <w:b w:val="0"/>
                <w:sz w:val="19"/>
              </w:rPr>
              <w:t>成熟场景进入OA模块规划前，应确认使用频率、权限边界、数据来源、人工复核点和运维责任。</w:t>
            </w:r>
          </w:p>
        </w:tc>
      </w:tr>
    </w:tbl>
    <w:p/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年底形成年度优秀会员、优秀分享人、年度知识库和标杆案例清单。</w:t>
      </w:r>
    </w:p>
    <w:p>
      <w:pPr>
        <w:pStyle w:val="ListBullet"/>
        <w:spacing w:after="60"/>
        <w:ind w:left="317"/>
      </w:pPr>
      <w:r>
        <w:rPr>
          <w:rFonts w:ascii="Arial" w:hAnsi="Arial" w:eastAsia="微软雅黑"/>
          <w:sz w:val="21"/>
        </w:rPr>
        <w:t>评价重点是是否带动真实使用、是否降低阻力、是否形成可复制经验，而不是单纯展示工具效果。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B7A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A5D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8A4B0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AI协会章程草案_审阅稿</dc:title>
  <dc:subject/>
  <dc:creator>深圳市安居建业投资运营有限公司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