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7A59"/>
          <w:sz w:val="40"/>
        </w:rPr>
        <w:t>安居建业AI应用推动工作方案</w:t>
      </w:r>
    </w:p>
    <w:p>
      <w:pPr>
        <w:jc w:val="center"/>
      </w:pPr>
      <w:r>
        <w:rPr>
          <w:rFonts w:ascii="Arial" w:hAnsi="Arial" w:eastAsia="微软雅黑"/>
          <w:color w:val="6B7280"/>
          <w:sz w:val="22"/>
        </w:rPr>
        <w:t>竹网行动 · 按领导确定方案修订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56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编制单位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主线依据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领导确定的AI应用专题研讨会会议议程及《安居建业AI应用推动工作方案（竹网行动）》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工作周期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2026年6月至12月，按会后2周/1个月/2个月及年底节点推进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经费口径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AI兴趣协会按3万元/年工具支持执行，采用“使用换分享”机制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版本状态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行动方案审阅稿，按领导方案修订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编制日期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2026年6月4日</w:t>
            </w:r>
          </w:p>
        </w:tc>
      </w:tr>
    </w:tbl>
    <w:p/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统一口径：竹网行动、AI兴趣协会、薪火计划、平台协同、3万元/年、使用换分享、会后2周/1个月/2个月、OA模块。</w:t>
      </w:r>
    </w:p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总体思路：兴趣驱动、以点带面、渐进深入——从个人探索到全员应用。</w:t>
      </w:r>
    </w:p>
    <w:p>
      <w:pPr>
        <w:pStyle w:val="Heading1"/>
      </w:pPr>
      <w:r>
        <w:t>一、方案背景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安居集团已发布关于开展AI应用“三个一”行动的倡议通知，要求员工掌握一个AI工具、各单位新增一个业务场景、公司建立一个核心场景。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在薪酬总额管控背景下，进一步提升人效是公司当前重要课题；AI应用是释放重复劳动、聚焦更有价值工作的主动探索。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本方案以领导确定的“竹网行动”为主线，问卷调研仅作为需求和场景支撑。</w:t>
      </w:r>
    </w:p>
    <w:p>
      <w:pPr>
        <w:pStyle w:val="Heading1"/>
      </w:pPr>
      <w:r>
        <w:t>二、预期目标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具体表达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承接集团AI应用“三个一”行动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员工掌握一个AI工具（协会+薪火）、各单位新增一个业务场景（各单位探索）、公司建立一个核心场景（OA模块）。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提升人效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在薪酬总额管控背景下，通过AI应用提升工作效率，让员工从重复劳动中释放精力。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以点带面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让AI从少数人的工具变成公司的能力，形成兴趣驱动启动、以点带面扩散、系统固化覆盖的推进路径。</w:t>
            </w:r>
          </w:p>
        </w:tc>
      </w:tr>
    </w:tbl>
    <w:p/>
    <w:p>
      <w:pPr>
        <w:pStyle w:val="Heading1"/>
      </w:pPr>
      <w:r>
        <w:t>三、四步成长逻辑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破土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从基层自发冒出，兴趣驱动，不勉强。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拔节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以点带面，快速生长，先行者带动更多人。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成林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各单位间经验共享、协同共创。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扎根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AI能力固化到系统，全员日常可用。</w:t>
            </w:r>
          </w:p>
        </w:tc>
      </w:tr>
    </w:tbl>
    <w:p/>
    <w:p>
      <w:pPr>
        <w:pStyle w:val="Heading1"/>
      </w:pPr>
      <w:r>
        <w:t>四、组织架构——兴趣驱动，多方联动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角色定位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推进要求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播种机：传播兴趣种子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定位为员工AI应用推动力量，承担工作推动会议、兴趣传播、工具使用、经验汇报和会员培育。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催化剂：润滑和燃料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把零散兴趣和能力转化为可复用知识资产，降低“想用但不会”的阻力，激励先行者持续分享。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平台协同支撑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孵化场：平台建设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由公司领导、各单位和人力资源中心共同形成支撑平台，推动业务场景落地和OA模块建设。</w:t>
            </w:r>
          </w:p>
        </w:tc>
      </w:tr>
    </w:tbl>
    <w:p/>
    <w:p>
      <w:pPr>
        <w:pStyle w:val="Heading1"/>
      </w:pPr>
      <w:r>
        <w:t>五、各单位AI探索——业务深耕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协会和薪火计划解决通用启蒙和技能传播问题，各单位AI探索则是把AI用到业务里的落地路径。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会后2周：各单位确认AI对接人，选定2-3个探索方向，一句话描述即可。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会后1个月：各单位提交一页纸AI探索计划，说明准备探索什么、预期能带来什么收获、需要什么支持。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会后2个月：召开AI应用交流会，各单位汇报初步探索情况；不要求成果展示，可以是“这条路不太通，换个方向”。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持续推进：标杆案例涌现后，跨单位经验复制，成熟场景纳入OA模块规划。</w:t>
      </w:r>
    </w:p>
    <w:p>
      <w:pPr>
        <w:pStyle w:val="Heading1"/>
      </w:pPr>
      <w:r>
        <w:t>六、推进节奏总览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关键动作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发布招募公告，首批成员入群，开通付费AI工具。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启动首批分享，围绕工具破冰和安全边界做实操。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确认AI对接人，选定2-3个探索方向，一句话描述即可。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召开首次线下交流会，形成“使用换分享”记录。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完成6月主题收官，归档录屏资料，同步发布薪火需求池。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提交一页纸AI探索计划，说明探索内容、预期收获和所需支持。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从活跃成员中识别潜在分享人，推荐进入薪火计划。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启动7月场景渗透主题，如公文、Excel、会议纪要等。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召开AI应用交流会，汇报初步探索情况；不要求成果展示，可说明路线不通和调整方向。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开展年度优秀会员表彰，形成下年度规划。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表彰优秀分享人，发布年度知识库。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各单位/平台协同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完成年度AI应用总结，推动标杆案例跨单位复制，成熟场景纳入OA模块规划。</w:t>
            </w:r>
          </w:p>
        </w:tc>
      </w:tr>
    </w:tbl>
    <w:p/>
    <w:p>
      <w:pPr>
        <w:pStyle w:val="Heading1"/>
      </w:pPr>
      <w:r>
        <w:t>七、成果形态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阶段性成果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协会成员清单、工具使用记录、薪火需求池、录屏资料、各单位一页纸AI探索计划。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交流成果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AI应用交流会材料、可复制经验、路线不通的复盘说明、方向调整记录。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年度成果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优秀会员、优秀分享人、年度知识库、标杆案例、OA模块候选清单。</w:t>
            </w:r>
          </w:p>
        </w:tc>
      </w:tr>
    </w:tbl>
    <w:p/>
    <w:p>
      <w:pPr>
        <w:pStyle w:val="Heading1"/>
      </w:pPr>
      <w:r>
        <w:t>八、保障与边界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执行要求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数据边界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不得上传涉密、敏感、个人信息或未经授权的数据；可先使用公开资料、脱敏样例和低敏材料。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人工责任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AI用于辅助消化信息、生成初稿、整理格式和提醒事项，专业判断、审批和最终输出仍由人员负责。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记录留痕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分享、试用和交流会材料应留存主题、需求来源、使用工具、边界说明和可复用模板。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平台固化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成熟场景进入OA模块规划前，应确认使用频率、权限边界、数据来源、人工复核点和运维责任。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7A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A5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8A4B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AI技术普及与应用推广行动方案_审阅稿</dc:title>
  <dc:subject/>
  <dc:creator>深圳市安居建业投资运营有限公司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