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2A7F8E"/>
          <w:sz w:val="20"/>
        </w:rPr>
        <w:t>决策建议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1F4E78"/>
          <w:sz w:val="48"/>
        </w:rPr>
        <w:t>试点部门选择建议报告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 w:val="0"/>
          <w:color w:val="667085"/>
          <w:sz w:val="24"/>
        </w:rPr>
        <w:t>以实际问卷证据筛选2026年重点AI试点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数据依据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2026年5月29日 AI认知与需求调研（134份有效答卷）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工作周期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2026年6月至12月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预算口径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年度预算待审，仅按费用类别测算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审阅稿，现有正式文件保持不变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2026年6月3日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E78"/>
                <w:sz w:val="21"/>
              </w:rPr>
              <w:t xml:space="preserve">建议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先形成全单位候选项目池，再集中资源支持8至12个重点试点。优先验证高频、低敏、易测量场景，同时对专业场景实施受控试点。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一、选择原则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5960"/>
      </w:tblGrid>
      <w:tr>
        <w:tc>
          <w:tcPr>
            <w:tcW w:type="dxa" w:w="2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维度</w:t>
            </w:r>
          </w:p>
        </w:tc>
        <w:tc>
          <w:tcPr>
            <w:tcW w:type="dxa" w:w="1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权重</w:t>
            </w:r>
          </w:p>
        </w:tc>
        <w:tc>
          <w:tcPr>
            <w:tcW w:type="dxa" w:w="59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判断标准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业务价值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30%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是否解决真实、高频、重要的业务痛点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使用频率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是否具有稳定、重复的使用需求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准备度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流程、材料和责任人是否相对清晰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风险可控性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数据、权限、专业责任和人工复核是否可控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复制价值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是否可推广至其他单位或相近岗位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数据说明：评分为基于问卷证据的建议评分，进入试点前仍需访谈确认。</w:t>
      </w:r>
    </w:p>
    <w:p>
      <w:pPr>
        <w:pStyle w:val="Heading1"/>
      </w:pPr>
      <w:r>
        <w:t>二、重点试点建议清单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00"/>
        <w:gridCol w:w="3950"/>
        <w:gridCol w:w="900"/>
        <w:gridCol w:w="850"/>
        <w:gridCol w:w="1310"/>
      </w:tblGrid>
      <w:tr>
        <w:tc>
          <w:tcPr>
            <w:tcW w:type="dxa" w:w="65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7"/>
              </w:rPr>
              <w:t>序号</w:t>
            </w:r>
          </w:p>
        </w:tc>
        <w:tc>
          <w:tcPr>
            <w:tcW w:type="dxa" w:w="17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7"/>
              </w:rPr>
              <w:t>单位</w:t>
            </w:r>
          </w:p>
        </w:tc>
        <w:tc>
          <w:tcPr>
            <w:tcW w:type="dxa" w:w="395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7"/>
              </w:rPr>
              <w:t>建议试点项目</w:t>
            </w:r>
          </w:p>
        </w:tc>
        <w:tc>
          <w:tcPr>
            <w:tcW w:type="dxa" w:w="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7"/>
              </w:rPr>
              <w:t>综合分</w:t>
            </w:r>
          </w:p>
        </w:tc>
        <w:tc>
          <w:tcPr>
            <w:tcW w:type="dxa" w:w="85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7"/>
              </w:rPr>
              <w:t>风险</w:t>
            </w:r>
          </w:p>
        </w:tc>
        <w:tc>
          <w:tcPr>
            <w:tcW w:type="dxa" w:w="131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7"/>
              </w:rPr>
              <w:t>问卷样本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运营管理中心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公司周报与报告材料收集编制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低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综合管理中心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公文、OA材料与制度知识库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4.65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1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人力资源中心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HR制度问答与培训材料助手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4.50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营销管理中心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营销方案、例行报告与合规提醒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4.30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1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项目营销团队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项目进度提醒与业务资料库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4.30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财务管理中心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财务数据整合与对账归档辅助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3.80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1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成本合约中心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成本分析、清标与清单复核辅助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3.80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产品管理中心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设计图纸与规范问题辅助检查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3.60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1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12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工程管理中心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工程文件识别与汇报可视化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岳盟项目部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项目流程跟踪与汇报材料助手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4.15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1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投资发展中心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项目信息汇总与真实性核验清单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3.75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  <w:t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风险法务中心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采购流程数据抓取与异常线索辅助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3.40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1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三、组合建议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c>
          <w:tcPr>
            <w:tcW w:type="dxa" w:w="17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组合</w:t>
            </w:r>
          </w:p>
        </w:tc>
        <w:tc>
          <w:tcPr>
            <w:tcW w:type="dxa" w:w="4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建议项目</w:t>
            </w:r>
          </w:p>
        </w:tc>
        <w:tc>
          <w:tcPr>
            <w:tcW w:type="dxa" w:w="34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管理意图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快速见效组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周报与材料收集、公文与知识库、工程汇报、项目跟踪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先跑通可见实效，形成内部信心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业务深化组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营销方案与合规提醒、项目营销资料库、投资信息核验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将AI从通用办公延伸到业务协作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受控专业组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财务数据与对账、成本清标复核、产品审图、风险法务异常线索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在严格边界和人工复核下验证专业价值</w:t>
            </w:r>
          </w:p>
        </w:tc>
      </w:tr>
    </w:tbl>
    <w:p>
      <w:pPr>
        <w:spacing w:after="40"/>
      </w:pPr>
    </w:p>
    <w:p>
      <w:pPr>
        <w:pStyle w:val="Heading1"/>
      </w:pPr>
      <w:r>
        <w:t>四、试点准入条件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明确单位负责人和项目团队，能够持续参与试点和复盘。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明确当前流程、主要痛点、预期输出和可测量指标。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完成数据范围、工具使用、权限和人工复核点确认。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能够使用脱敏样例或受控环境进行初步验证。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接受“风险不可控即暂停、证据不足不进入决赛”的项目管理要求。</w:t>
      </w:r>
    </w:p>
    <w:p>
      <w:pPr>
        <w:pStyle w:val="Heading1"/>
      </w:pPr>
      <w:r>
        <w:t>五、分阶段推进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项目确认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方案设计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小范围试用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证据记录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大赛辅导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成果转化</w:t>
            </w:r>
          </w:p>
        </w:tc>
      </w:tr>
      <w:tr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访谈确认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边界与指标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低风险验证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前后对比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完善展示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复制推广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800"/>
        <w:gridCol w:w="3160"/>
      </w:tblGrid>
      <w:tr>
        <w:tc>
          <w:tcPr>
            <w:tcW w:type="dxa" w:w="14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阶段</w:t>
            </w:r>
          </w:p>
        </w:tc>
        <w:tc>
          <w:tcPr>
            <w:tcW w:type="dxa" w:w="4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关键问题</w:t>
            </w:r>
          </w:p>
        </w:tc>
        <w:tc>
          <w:tcPr>
            <w:tcW w:type="dxa" w:w="31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决策门槛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项目确认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痛点是否真实，是否具备明确责任人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无负责人或无稳定需求的项目暂缓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小范围试用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数据边界和人工复核是否可控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高风险但无受控环境的项目暂停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证据记录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是否形成时间、质量、差错或体验变化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无实际证据的项目不进入决赛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成果转化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是否具备模板、说明、边界和推广价值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不可复制的项目保留为单位内部经验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数据说明：本报告不预设部门结论，所有建议均来自问卷量化结果、开放题意见和组织层级核对。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内部审阅资料  |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64" w:lineRule="auto"/>
    </w:pPr>
    <w:r>
      <w:rPr>
        <w:rFonts w:ascii="Arial Unicode MS" w:hAnsi="Arial Unicode MS" w:eastAsia="Arial Unicode MS"/>
        <w:b w:val="0"/>
        <w:color w:val="667085"/>
        <w:sz w:val="17"/>
      </w:rPr>
      <w:t>深圳市安居建业投资运营有限公司  |  AI协会工作体系重构审阅稿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