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60" w:line="264" w:lineRule="auto"/>
      </w:pPr>
      <w:r>
        <w:rPr>
          <w:rFonts w:ascii="Arial Unicode MS" w:hAnsi="Arial Unicode MS" w:eastAsia="Arial Unicode MS"/>
          <w:b/>
          <w:color w:val="2A7F8E"/>
          <w:sz w:val="20"/>
        </w:rPr>
        <w:t>流程诊断</w:t>
      </w:r>
    </w:p>
    <w:p>
      <w:pPr>
        <w:spacing w:before="0" w:after="60" w:line="264" w:lineRule="auto"/>
      </w:pPr>
      <w:r>
        <w:rPr>
          <w:rFonts w:ascii="Arial Unicode MS" w:hAnsi="Arial Unicode MS" w:eastAsia="Arial Unicode MS"/>
          <w:b/>
          <w:color w:val="1F4E78"/>
          <w:sz w:val="48"/>
        </w:rPr>
        <w:t>部门流程诊断方案</w:t>
      </w:r>
    </w:p>
    <w:p>
      <w:pPr>
        <w:spacing w:before="0" w:after="60" w:line="264" w:lineRule="auto"/>
      </w:pPr>
      <w:r>
        <w:rPr>
          <w:rFonts w:ascii="Arial Unicode MS" w:hAnsi="Arial Unicode MS" w:eastAsia="Arial Unicode MS"/>
          <w:b w:val="0"/>
          <w:color w:val="667085"/>
          <w:sz w:val="24"/>
        </w:rPr>
        <w:t>支持AI场景确认、重点试点和成果验证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编制单位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深圳市安居建业投资运营有限公司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数据依据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2026年5月29日 AI认知与需求调研（134份有效答卷）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工作周期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2026年6月至12月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预算口径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年度预算待审，仅按费用类别测算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版本状态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审阅稿，现有正式文件保持不变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编制日期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2026年6月3日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E78"/>
                <w:sz w:val="21"/>
              </w:rPr>
              <w:t xml:space="preserve">诊断目标  </w:t>
            </w:r>
            <w:r>
              <w:rPr>
                <w:rFonts w:ascii="Arial Unicode MS" w:hAnsi="Arial Unicode MS" w:eastAsia="Arial Unicode MS"/>
                <w:color w:val="1F2937"/>
                <w:sz w:val="21"/>
              </w:rPr>
              <w:t>把“想用AI”转化为可执行项目：明确输入、步骤、判断、输出、风险、人工复核点和验证指标。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一、适用范围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适用于全部正式业务单位的AI场景确认和候选项目申报。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重点支持拟进入8至12个试点项目和6至8个AI大赛决赛项目。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领导班子意见作为跨公司指导，不作为场景项目申报单位。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无问卷证据的单位先完成访谈验证，不直接预设需求。</w:t>
      </w:r>
    </w:p>
    <w:p>
      <w:pPr>
        <w:pStyle w:val="Heading1"/>
      </w:pPr>
      <w:r>
        <w:t>二、诊断原则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原则</w:t>
            </w:r>
          </w:p>
        </w:tc>
        <w:tc>
          <w:tcPr>
            <w:tcW w:type="dxa" w:w="74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执行要求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从小场景切入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优先选择高频、低敏、重复、易验证的减负场景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先流程后工具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先明确工作步骤、规则和输出，再判断使用问答、Skill、工作流或Agent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人机责任清晰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AI承担信息消化、初稿生成和格式处理，人员承担判断、沟通、审批和最终责任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数据边界前置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在试点前明确数据敏感性、工具环境、权限和保留记录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用证据验收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以时间、质量、差错、流程、体验等前后变化评价项目</w:t>
            </w:r>
          </w:p>
        </w:tc>
      </w:tr>
    </w:tbl>
    <w:p>
      <w:pPr>
        <w:spacing w:after="40"/>
      </w:pPr>
    </w:p>
    <w:p>
      <w:pPr>
        <w:pStyle w:val="Heading1"/>
      </w:pPr>
      <w:r>
        <w:t>三、标准诊断流程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准备</w:t>
            </w:r>
          </w:p>
        </w:tc>
        <w:tc>
          <w:tcPr>
            <w:tcW w:type="dxa" w:w="1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访谈</w:t>
            </w:r>
          </w:p>
        </w:tc>
        <w:tc>
          <w:tcPr>
            <w:tcW w:type="dxa" w:w="1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拆解</w:t>
            </w:r>
          </w:p>
        </w:tc>
        <w:tc>
          <w:tcPr>
            <w:tcW w:type="dxa" w:w="1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评估</w:t>
            </w:r>
          </w:p>
        </w:tc>
        <w:tc>
          <w:tcPr>
            <w:tcW w:type="dxa" w:w="1560"/>
            <w:shd w:fill="2A7F8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试用</w:t>
            </w:r>
          </w:p>
        </w:tc>
        <w:tc>
          <w:tcPr>
            <w:tcW w:type="dxa" w:w="1560"/>
            <w:shd w:fill="2A7F8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复盘</w:t>
            </w:r>
          </w:p>
        </w:tc>
      </w:tr>
      <w:tr>
        <w:tc>
          <w:tcPr>
            <w:tcW w:type="dxa" w:w="1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收集材料</w:t>
            </w:r>
          </w:p>
        </w:tc>
        <w:tc>
          <w:tcPr>
            <w:tcW w:type="dxa" w:w="1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识别痛点</w:t>
            </w:r>
          </w:p>
        </w:tc>
        <w:tc>
          <w:tcPr>
            <w:tcW w:type="dxa" w:w="1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画出现状流程</w:t>
            </w:r>
          </w:p>
        </w:tc>
        <w:tc>
          <w:tcPr>
            <w:tcW w:type="dxa" w:w="1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价值与风险</w:t>
            </w:r>
          </w:p>
        </w:tc>
        <w:tc>
          <w:tcPr>
            <w:tcW w:type="dxa" w:w="1560"/>
            <w:shd w:fill="ED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小范围验证</w:t>
            </w:r>
          </w:p>
        </w:tc>
        <w:tc>
          <w:tcPr>
            <w:tcW w:type="dxa" w:w="1560"/>
            <w:shd w:fill="ED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形成决策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400"/>
        <w:gridCol w:w="2760"/>
      </w:tblGrid>
      <w:tr>
        <w:tc>
          <w:tcPr>
            <w:tcW w:type="dxa" w:w="12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步骤</w:t>
            </w:r>
          </w:p>
        </w:tc>
        <w:tc>
          <w:tcPr>
            <w:tcW w:type="dxa" w:w="54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主要工作</w:t>
            </w:r>
          </w:p>
        </w:tc>
        <w:tc>
          <w:tcPr>
            <w:tcW w:type="dxa" w:w="27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输出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1.准备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确认单位负责人、访谈对象、现有材料和问卷意见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诊断清单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2.访谈</w:t>
            </w:r>
          </w:p>
        </w:tc>
        <w:tc>
          <w:tcPr>
            <w:tcW w:type="dxa" w:w="5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了解工作目标、频率、耗时、难点、差错和协作节点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访谈记录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3.拆解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梳理输入、固定步骤、判断规则、输出格式和责任人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现状流程图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4.评估</w:t>
            </w:r>
          </w:p>
        </w:tc>
        <w:tc>
          <w:tcPr>
            <w:tcW w:type="dxa" w:w="5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判断业务价值、AI适配、数据风险、人工复核和指标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场景评估表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5.试用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使用脱敏样例或受控环境完成小范围验证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试用记录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6.复盘</w:t>
            </w:r>
          </w:p>
        </w:tc>
        <w:tc>
          <w:tcPr>
            <w:tcW w:type="dxa" w:w="5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比较前后变化，决定暂停、优化、参赛或推广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复盘与决策记录</w:t>
            </w:r>
          </w:p>
        </w:tc>
      </w:tr>
    </w:tbl>
    <w:p>
      <w:pPr>
        <w:spacing w:after="40"/>
      </w:pPr>
    </w:p>
    <w:p>
      <w:pPr>
        <w:pStyle w:val="Heading1"/>
      </w:pPr>
      <w:r>
        <w:t>四、场景拆解模板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字段</w:t>
            </w:r>
          </w:p>
        </w:tc>
        <w:tc>
          <w:tcPr>
            <w:tcW w:type="dxa" w:w="73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需要回答的问题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业务目标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这项工作最终要解决什么问题，服务谁？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现状流程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输入是什么，步骤有哪些，谁判断，输出是什么？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痛点证据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频率、耗时、返工、差错、等待或协作问题是什么？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AI辅助方式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适合问答、模板Skill、固定工作流、知识库还是动态Agent？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目标流程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引入AI后哪些步骤保留、调整或新增，人员如何接管判断与审批？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数据边界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涉及哪些数据、权限、工具环境、专业责任和对外影响？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人工复核点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哪些节点必须由人员检查、确认或审批？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效果指标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如何比较试用前后的时间、质量、差错、流程或体验？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成果形态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是否可形成模板、说明、原型、案例或大赛项目？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复盘模板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试点后如何记录前后变化、问题、风险、优化决定和推广条件？</w:t>
            </w:r>
          </w:p>
        </w:tc>
      </w:tr>
    </w:tbl>
    <w:p>
      <w:pPr>
        <w:spacing w:after="40"/>
      </w:pPr>
    </w:p>
    <w:p>
      <w:pPr>
        <w:pStyle w:val="Heading1"/>
      </w:pPr>
      <w:r>
        <w:t>五、AI适配判断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2100"/>
        <w:gridCol w:w="4160"/>
      </w:tblGrid>
      <w:tr>
        <w:tc>
          <w:tcPr>
            <w:tcW w:type="dxa" w:w="31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工作特征</w:t>
            </w:r>
          </w:p>
        </w:tc>
        <w:tc>
          <w:tcPr>
            <w:tcW w:type="dxa" w:w="21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优先方式</w:t>
            </w:r>
          </w:p>
        </w:tc>
        <w:tc>
          <w:tcPr>
            <w:tcW w:type="dxa" w:w="41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说明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输入固定、步骤固定、规则固定、输出固定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工作流自动化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优先追求稳定、可重复和可监控</w:t>
            </w:r>
          </w:p>
        </w:tc>
      </w:tr>
      <w:t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流程大体稳定，但材料不同，需要判断、改写和质量控制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Skill或模板化辅助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保留人工审核和取舍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步骤无法预先完全规划，需要动态推理和调整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Agent或智能体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仅在边界清晰、风险可控时使用</w:t>
            </w:r>
          </w:p>
        </w:tc>
      </w:tr>
      <w:t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高度依赖专业判断、审批或敏感数据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受控辅助或暂不使用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不得让AI替代责任主体</w:t>
            </w:r>
          </w:p>
        </w:tc>
      </w:tr>
    </w:tbl>
    <w:p>
      <w:pPr>
        <w:spacing w:after="40"/>
      </w:pPr>
    </w:p>
    <w:p>
      <w:pPr>
        <w:pStyle w:val="Heading1"/>
      </w:pPr>
      <w:r>
        <w:t>六、风险分级与控制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200"/>
        <w:gridCol w:w="4860"/>
      </w:tblGrid>
      <w:tr>
        <w:tc>
          <w:tcPr>
            <w:tcW w:type="dxa" w:w="1300"/>
            <w:shd w:fill="FCEE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风险级别</w:t>
            </w:r>
          </w:p>
        </w:tc>
        <w:tc>
          <w:tcPr>
            <w:tcW w:type="dxa" w:w="3200"/>
            <w:shd w:fill="FCEE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典型场景</w:t>
            </w:r>
          </w:p>
        </w:tc>
        <w:tc>
          <w:tcPr>
            <w:tcW w:type="dxa" w:w="4860"/>
            <w:shd w:fill="FCEE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控制要求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低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公开信息摘要、低敏文稿初稿、培训材料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人工定稿或抽检，保留来源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中</w:t>
            </w:r>
          </w:p>
        </w:tc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内部知识库、流程提醒、业务报告、项目资料整理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权限控制、人工复核、使用记录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高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投资、设计、工程、成本、财务、法务、人力专业场景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受控环境、专业复核、必要审批、不得直接执行</w:t>
            </w:r>
          </w:p>
        </w:tc>
      </w:tr>
    </w:tbl>
    <w:p>
      <w:pPr>
        <w:spacing w:after="40"/>
      </w:pPr>
    </w:p>
    <w:p>
      <w:pPr>
        <w:pStyle w:val="Heading1"/>
      </w:pPr>
      <w:r>
        <w:t>七、实施安排与输出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400"/>
        <w:gridCol w:w="2760"/>
      </w:tblGrid>
      <w:tr>
        <w:tc>
          <w:tcPr>
            <w:tcW w:type="dxa" w:w="12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时间</w:t>
            </w:r>
          </w:p>
        </w:tc>
        <w:tc>
          <w:tcPr>
            <w:tcW w:type="dxa" w:w="54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工作安排</w:t>
            </w:r>
          </w:p>
        </w:tc>
        <w:tc>
          <w:tcPr>
            <w:tcW w:type="dxa" w:w="27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输出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6月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完成全部正式业务单位场景确认和候选项目申报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单位场景清单、项目池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7—8月</w:t>
            </w:r>
          </w:p>
        </w:tc>
        <w:tc>
          <w:tcPr>
            <w:tcW w:type="dxa" w:w="5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结合岗位实训完善场景拆解和方案设计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项目卡、现状流程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9—10月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推进重点试点并记录前后变化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试点记录、证据材料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11月</w:t>
            </w:r>
          </w:p>
        </w:tc>
        <w:tc>
          <w:tcPr>
            <w:tcW w:type="dxa" w:w="5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完成复盘、初评和大赛辅导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决赛材料、风险说明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12月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形成成果转化和推广建议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案例库、推广清单</w:t>
            </w:r>
          </w:p>
        </w:tc>
      </w:tr>
    </w:tbl>
    <w:p>
      <w:pPr>
        <w:spacing w:after="40"/>
      </w:pPr>
    </w:p>
    <w:p>
      <w:pPr>
        <w:spacing w:before="40" w:after="100"/>
      </w:pPr>
      <w:r>
        <w:rPr>
          <w:rFonts w:ascii="Arial Unicode MS" w:hAnsi="Arial Unicode MS" w:eastAsia="Arial Unicode MS"/>
          <w:color w:val="667085"/>
          <w:sz w:val="17"/>
        </w:rPr>
        <w:t>数据说明：本方案使用实际问卷意见和正式组织层级，不再预设“营销管理中心+综合管理中心”等固定试点组合。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152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085"/>
        <w:sz w:val="17"/>
      </w:rPr>
      <w:t xml:space="preserve">内部审阅资料  |  </w:t>
    </w:r>
    <w:r>
      <w:rPr>
        <w:rFonts w:ascii="Arial Unicode MS" w:hAnsi="Arial Unicode MS" w:eastAsia="Arial Unicode MS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60" w:line="264" w:lineRule="auto"/>
    </w:pPr>
    <w:r>
      <w:rPr>
        <w:rFonts w:ascii="Arial Unicode MS" w:hAnsi="Arial Unicode MS" w:eastAsia="Arial Unicode MS"/>
        <w:b w:val="0"/>
        <w:color w:val="667085"/>
        <w:sz w:val="17"/>
      </w:rPr>
      <w:t>深圳市安居建业投资运营有限公司  |  AI协会工作体系重构审阅稿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