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60" w:line="264" w:lineRule="auto"/>
      </w:pPr>
      <w:r>
        <w:rPr>
          <w:rFonts w:ascii="Arial Unicode MS" w:hAnsi="Arial Unicode MS" w:eastAsia="Arial Unicode MS"/>
          <w:b/>
          <w:color w:val="2A7F8E"/>
          <w:sz w:val="20"/>
        </w:rPr>
        <w:t>培训方案</w:t>
      </w:r>
    </w:p>
    <w:p>
      <w:pPr>
        <w:spacing w:before="0" w:after="60" w:line="264" w:lineRule="auto"/>
      </w:pPr>
      <w:r>
        <w:rPr>
          <w:rFonts w:ascii="Arial Unicode MS" w:hAnsi="Arial Unicode MS" w:eastAsia="Arial Unicode MS"/>
          <w:b/>
          <w:color w:val="1F4E78"/>
          <w:sz w:val="48"/>
        </w:rPr>
        <w:t>首期培训主题与资源方案</w:t>
      </w:r>
    </w:p>
    <w:p>
      <w:pPr>
        <w:spacing w:before="0" w:after="60" w:line="264" w:lineRule="auto"/>
      </w:pPr>
      <w:r>
        <w:rPr>
          <w:rFonts w:ascii="Arial Unicode MS" w:hAnsi="Arial Unicode MS" w:eastAsia="Arial Unicode MS"/>
          <w:b w:val="0"/>
          <w:color w:val="667085"/>
          <w:sz w:val="24"/>
        </w:rPr>
        <w:t>服务单位场景摸排、重点试点和年度AI大赛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编制单位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深圳市安居建业投资运营有限公司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数据依据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2026年5月29日 AI认知与需求调研（134份有效答卷）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工作周期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2026年6月至12月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预算口径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年度预算待审，仅按费用类别测算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版本状态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审阅稿，现有正式文件保持不变</w:t>
            </w:r>
          </w:p>
        </w:tc>
      </w:tr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/>
                <w:color w:val="1F4E78"/>
                <w:sz w:val="19"/>
              </w:rPr>
              <w:t>编制日期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2026年6月3日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E78"/>
                <w:sz w:val="21"/>
              </w:rPr>
              <w:t xml:space="preserve">培训定位  </w:t>
            </w:r>
            <w:r>
              <w:rPr>
                <w:rFonts w:ascii="Arial Unicode MS" w:hAnsi="Arial Unicode MS" w:eastAsia="Arial Unicode MS"/>
                <w:color w:val="1F2937"/>
                <w:sz w:val="21"/>
              </w:rPr>
              <w:t>培训不是工具展示，而是帮助员工围绕真实工作问题形成可使用、可复核、可参赛的成果。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一、需求依据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600"/>
        <w:gridCol w:w="5560"/>
      </w:tblGrid>
      <w:tr>
        <w:tc>
          <w:tcPr>
            <w:tcW w:type="dxa" w:w="22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培训需求</w:t>
            </w:r>
          </w:p>
        </w:tc>
        <w:tc>
          <w:tcPr>
            <w:tcW w:type="dxa" w:w="16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问卷比例</w:t>
            </w:r>
          </w:p>
        </w:tc>
        <w:tc>
          <w:tcPr>
            <w:tcW w:type="dxa" w:w="5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课程响应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AI办公技巧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73.13%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办公提效实操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业务场景挖掘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46.27%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场景识别与项目定义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进阶自动化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29.10%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工作流、Skill与Agent进阶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提示词实战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28.36%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提示词与结构化输出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输出甄别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28.36%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事实核验与质量复核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工具选型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26.12%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工具选择与组合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学习路径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21.64%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骨干成长与内部分享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安全合规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16.42%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数据安全与应用边界</w:t>
            </w:r>
          </w:p>
        </w:tc>
      </w:tr>
    </w:tbl>
    <w:p>
      <w:pPr>
        <w:spacing w:after="40"/>
      </w:pPr>
    </w:p>
    <w:p>
      <w:pPr>
        <w:spacing w:before="40" w:after="100"/>
      </w:pPr>
      <w:r>
        <w:rPr>
          <w:rFonts w:ascii="Arial Unicode MS" w:hAnsi="Arial Unicode MS" w:eastAsia="Arial Unicode MS"/>
          <w:color w:val="667085"/>
          <w:sz w:val="17"/>
        </w:rPr>
        <w:t>数据说明：培训需求比例来自汇总结果表，作答人数134人。</w:t>
      </w:r>
    </w:p>
    <w:p>
      <w:pPr>
        <w:pStyle w:val="Heading1"/>
      </w:pPr>
      <w:r>
        <w:t>二、分层参与机制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3300"/>
        <w:gridCol w:w="2360"/>
      </w:tblGrid>
      <w:tr>
        <w:tc>
          <w:tcPr>
            <w:tcW w:type="dxa" w:w="13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层级</w:t>
            </w:r>
          </w:p>
        </w:tc>
        <w:tc>
          <w:tcPr>
            <w:tcW w:type="dxa" w:w="24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对象</w:t>
            </w:r>
          </w:p>
        </w:tc>
        <w:tc>
          <w:tcPr>
            <w:tcW w:type="dxa" w:w="33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学习目标</w:t>
            </w:r>
          </w:p>
        </w:tc>
        <w:tc>
          <w:tcPr>
            <w:tcW w:type="dxa" w:w="23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成果要求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基础层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全体员工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理解AI能力边界、安全要求和基础办公用法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完成低敏场景实操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实训层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各单位业务骨干、场景负责人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将业务痛点转化为可验证场景</w:t>
            </w:r>
          </w:p>
        </w:tc>
        <w:tc>
          <w:tcPr>
            <w:tcW w:type="dxa" w:w="2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形成候选项目卡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进阶层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重点试点和大赛项目团队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掌握自动化、知识库、智能体和效果验证方法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形成试点成果与展示材料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分享层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内部导师、成熟项目成员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沉淀可复制方法并支持推广</w:t>
            </w:r>
          </w:p>
        </w:tc>
        <w:tc>
          <w:tcPr>
            <w:tcW w:type="dxa" w:w="2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案例、模板和内部分享</w:t>
            </w:r>
          </w:p>
        </w:tc>
      </w:tr>
    </w:tbl>
    <w:p>
      <w:pPr>
        <w:spacing w:after="40"/>
      </w:pPr>
    </w:p>
    <w:p>
      <w:pPr>
        <w:pStyle w:val="Heading1"/>
      </w:pPr>
      <w:r>
        <w:t>三、课程安排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500"/>
        <w:gridCol w:w="3560"/>
        <w:gridCol w:w="2200"/>
      </w:tblGrid>
      <w:tr>
        <w:tc>
          <w:tcPr>
            <w:tcW w:type="dxa" w:w="11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时间</w:t>
            </w:r>
          </w:p>
        </w:tc>
        <w:tc>
          <w:tcPr>
            <w:tcW w:type="dxa" w:w="25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课程主题</w:t>
            </w:r>
          </w:p>
        </w:tc>
        <w:tc>
          <w:tcPr>
            <w:tcW w:type="dxa" w:w="3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主要实操</w:t>
            </w:r>
          </w:p>
        </w:tc>
        <w:tc>
          <w:tcPr>
            <w:tcW w:type="dxa" w:w="22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服务成果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6月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AI认知破冰与安全合规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识别可用与禁用数据、判断输出可靠性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安全边界、低敏场景清单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7月上旬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AI办公技巧：文案、表格与PPT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使用脱敏材料生成初稿、摘要、表格分析和演示结构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个人减负成果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7月下旬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工作场景挖掘与项目定义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拆解痛点、输入、步骤、输出、风险和指标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单位候选项目卡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8月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知识管理、检索与高质量提示词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建立资料索引、问答提示和来源追溯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知识库或检索原型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9月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工作流、Skill与Agent进阶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判断何时使用固定流程、技能模板或动态智能体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自动化试点原型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10月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输出甄别、效果验证与复盘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记录前后变化、设计人工复核点、形成证据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试点验证记录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11月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AI大赛项目辅导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优化业务叙事、演示成果、评分材料和风险说明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决赛展示材料</w:t>
            </w:r>
          </w:p>
        </w:tc>
      </w:tr>
    </w:tbl>
    <w:p>
      <w:pPr>
        <w:spacing w:after="40"/>
      </w:pPr>
    </w:p>
    <w:p>
      <w:pPr>
        <w:pStyle w:val="Heading1"/>
      </w:pPr>
      <w:r>
        <w:t>四、培训实施方式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方式</w:t>
            </w:r>
          </w:p>
        </w:tc>
        <w:tc>
          <w:tcPr>
            <w:tcW w:type="dxa" w:w="75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真实场景实操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优先使用脱敏或模拟业务材料，课堂完成实际操作，不以概念讲解为主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岗位分组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按办公共性、专业场景和项目团队组织差异化练习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课后适应期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实训后预留1至2周应用期，收集问题并调整方案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常态复训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每月安排短课或案例分享，讲解新功能、高频问题和优秀用法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资料沉淀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提供课程视频、操作手册、案例和模板，便于员工自学复习</w:t>
            </w:r>
          </w:p>
        </w:tc>
      </w:tr>
    </w:tbl>
    <w:p>
      <w:pPr>
        <w:spacing w:after="40"/>
      </w:pPr>
    </w:p>
    <w:p>
      <w:pPr>
        <w:pStyle w:val="Heading1"/>
      </w:pPr>
      <w:r>
        <w:t>五、课程作业与评价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00"/>
        <w:gridCol w:w="3060"/>
      </w:tblGrid>
      <w:tr>
        <w:tc>
          <w:tcPr>
            <w:tcW w:type="dxa" w:w="17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作业类型</w:t>
            </w:r>
          </w:p>
        </w:tc>
        <w:tc>
          <w:tcPr>
            <w:tcW w:type="dxa" w:w="460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评价重点</w:t>
            </w:r>
          </w:p>
        </w:tc>
        <w:tc>
          <w:tcPr>
            <w:tcW w:type="dxa" w:w="30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可转化成果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基础作业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是否遵守安全边界，是否能对输出进行人工复核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低敏场景示例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单位项目卡</w:t>
            </w:r>
          </w:p>
        </w:tc>
        <w:tc>
          <w:tcPr>
            <w:tcW w:type="dxa" w:w="4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痛点是否真实、输出是否明确、指标是否可测量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大赛候选项目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试点记录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是否记录前后变化、问题、风险和使用反馈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重点试点证据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决赛材料</w:t>
            </w:r>
          </w:p>
        </w:tc>
        <w:tc>
          <w:tcPr>
            <w:tcW w:type="dxa" w:w="4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是否具备业务价值、实际证据、可复制性和完整说明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AI大赛项目</w:t>
            </w:r>
          </w:p>
        </w:tc>
      </w:tr>
    </w:tbl>
    <w:p>
      <w:pPr>
        <w:spacing w:after="40"/>
      </w:pPr>
    </w:p>
    <w:p>
      <w:pPr>
        <w:pStyle w:val="Heading1"/>
      </w:pPr>
      <w:r>
        <w:t>六、资源与预算口径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讲师资源：内部业务骨干、成熟项目成员及必要的外部专业讲师。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工具资源：经确认的办公协同、知识管理、自动化和专业辅助工具；付费账号或Token按程序申请。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培训资源：课程视频、操作手册、案例库、模板库和答疑机制。</w:t>
      </w:r>
    </w:p>
    <w:p>
      <w:pPr>
        <w:pStyle w:val="ListBullet"/>
        <w:spacing w:after="80" w:line="264" w:lineRule="auto"/>
        <w:ind w:left="360" w:hanging="187"/>
      </w:pPr>
      <w:r>
        <w:rPr>
          <w:rFonts w:ascii="Arial Unicode MS" w:hAnsi="Arial Unicode MS" w:eastAsia="Arial Unicode MS"/>
          <w:color w:val="1F2937"/>
          <w:sz w:val="21"/>
        </w:rPr>
        <w:t>预算口径：年度预算待审，仅分类测算培训、工具资源、大赛、成果转化和必要的系统开发费用。</w:t>
      </w:r>
    </w:p>
    <w:p>
      <w:pPr>
        <w:pStyle w:val="Heading1"/>
      </w:pPr>
      <w:r>
        <w:t>七、安全与质量要求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CEE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要求</w:t>
            </w:r>
          </w:p>
        </w:tc>
        <w:tc>
          <w:tcPr>
            <w:tcW w:type="dxa" w:w="7560"/>
            <w:shd w:fill="FCEE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E78"/>
                <w:sz w:val="18"/>
              </w:rPr>
              <w:t>课堂与项目执行标准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数据安全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不得使用涉密、敏感、个人信息或未经授权的真实材料进行外部工具实操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准确性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重要事实、数据、专业判断和对外材料必须人工核验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专业责任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AI不得替代投资、设计、工程、成本、财务、法务、人力等专业审批责任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成果追溯</w:t>
            </w:r>
          </w:p>
        </w:tc>
        <w:tc>
          <w:tcPr>
            <w:tcW w:type="dxa" w:w="7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项目成果应保留来源、关键提示、修改记录和验证证据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152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7"/>
      </w:rPr>
      <w:t xml:space="preserve">内部审阅资料  | 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60" w:line="264" w:lineRule="auto"/>
    </w:pPr>
    <w:r>
      <w:rPr>
        <w:rFonts w:ascii="Arial Unicode MS" w:hAnsi="Arial Unicode MS" w:eastAsia="Arial Unicode MS"/>
        <w:b w:val="0"/>
        <w:color w:val="667085"/>
        <w:sz w:val="17"/>
      </w:rPr>
      <w:t>深圳市安居建业投资运营有限公司  |  AI协会工作体系重构审阅稿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