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2A7F8E"/>
          <w:sz w:val="20"/>
        </w:rPr>
        <w:t>治理制度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1F4E78"/>
          <w:sz w:val="48"/>
        </w:rPr>
        <w:t>AI协会章程草案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 w:val="0"/>
          <w:color w:val="667085"/>
          <w:sz w:val="24"/>
        </w:rPr>
        <w:t>围绕真实业务场景，推动学习、实践、竞赛与成果转化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数据依据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2026年5月29日 AI认知与需求调研（134份有效答卷）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工作周期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2026年6月至12月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预算口径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年度预算待审，仅按费用类别测算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审阅稿，现有正式文件保持不变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2026年6月3日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E78"/>
                <w:sz w:val="21"/>
              </w:rPr>
              <w:t xml:space="preserve">定位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AI协会是公司内部非行政化的学习、实践和成果转化平台，不替代各单位管理职责、专业判断和审批责任。</w:t>
            </w:r>
          </w:p>
        </w:tc>
      </w:tr>
    </w:tbl>
    <w:p>
      <w:pPr>
        <w:spacing w:after="40"/>
      </w:pPr>
    </w:p>
    <w:p>
      <w:pPr>
        <w:pStyle w:val="Heading1"/>
      </w:pPr>
      <w:r>
        <w:t>第一章  总则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第一条  为规范公司 AI 协会运行，提升员工人工智能应用能力，推动 AI 与业务场景融合，形成可验证、可复制的提效成果，制定本章程。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第二条  协会坚持自愿参与、场景驱动、实用优先、安全可控、人工负责、成果共享的原则。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第三条  协会年度工作主线为“调研诊断、分层培训、场景摸排、项目试点、AI 大赛、成果转化”。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调研诊断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分层培训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场景摸排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项目试点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AI大赛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成果转化</w:t>
            </w:r>
          </w:p>
        </w:tc>
      </w:tr>
      <w:tr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识别需求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形成能力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建立项目池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验证实效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展示成果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复制推广</w:t>
            </w:r>
          </w:p>
        </w:tc>
      </w:tr>
    </w:tbl>
    <w:p>
      <w:pPr>
        <w:spacing w:after="40"/>
      </w:pPr>
    </w:p>
    <w:p>
      <w:pPr>
        <w:pStyle w:val="Heading1"/>
      </w:pPr>
      <w:r>
        <w:t>第二章  组织架构与职责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00"/>
        <w:gridCol w:w="2760"/>
      </w:tblGrid>
      <w:tr>
        <w:tc>
          <w:tcPr>
            <w:tcW w:type="dxa" w:w="15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角色</w:t>
            </w:r>
          </w:p>
        </w:tc>
        <w:tc>
          <w:tcPr>
            <w:tcW w:type="dxa" w:w="51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主要职责</w:t>
            </w:r>
          </w:p>
        </w:tc>
        <w:tc>
          <w:tcPr>
            <w:tcW w:type="dxa" w:w="27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关键输出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指导与评审机制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审议年度方向、重大活动、风险边界和成果转化建议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年度重点、评审意见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协会理事会</w:t>
            </w:r>
          </w:p>
        </w:tc>
        <w:tc>
          <w:tcPr>
            <w:tcW w:type="dxa" w:w="5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统筹计划、资源协调、活动组织、成果复盘和对外汇报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年度计划、成果清单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秘书组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维护项目台账、培训安排、资料归档、会议纪要和进度跟踪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项目台账、活动记录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专业小组与导师</w:t>
            </w:r>
          </w:p>
        </w:tc>
        <w:tc>
          <w:tcPr>
            <w:tcW w:type="dxa" w:w="5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围绕业务专业线提供场景辅导、质量复核和经验分享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专业建议、复核记录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单位场景负责人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组织本单位场景确认、项目申报、试点验证和成效证明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场景确认表、试点证据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项目团队</w:t>
            </w:r>
          </w:p>
        </w:tc>
        <w:tc>
          <w:tcPr>
            <w:tcW w:type="dxa" w:w="5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完成方案设计、原型试用、数据记录、大赛展示和复盘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项目成果、复盘报告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第四条  各单位对本单位业务数据、专业结论、审批流程和最终输出承担责任。协会提供方法、资源和协作支持，不替代业务责任。</w:t>
      </w:r>
    </w:p>
    <w:p>
      <w:pPr>
        <w:pStyle w:val="Heading1"/>
      </w:pPr>
      <w:r>
        <w:t>第三章  会员与参与机制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c>
          <w:tcPr>
            <w:tcW w:type="dxa" w:w="15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参与层级</w:t>
            </w:r>
          </w:p>
        </w:tc>
        <w:tc>
          <w:tcPr>
            <w:tcW w:type="dxa" w:w="30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适用对象</w:t>
            </w:r>
          </w:p>
        </w:tc>
        <w:tc>
          <w:tcPr>
            <w:tcW w:type="dxa" w:w="48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参与方式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基础参与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全体员工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参加安全合规与基础认知培训，提出真实工作场景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骨干参与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各单位业务骨干、场景负责人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参加岗位实训，推动候选项目和试点验证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项目参与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成熟项目团队、导师和评审人员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参加进阶辅导、AI 大赛和成果转化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第五条  协会活动原则上以自愿参与和业务需要为基础，不以形式化全员考核替代真实应用成效。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第六条  协会鼓励各专业线同事参与，支持跨单位组队，鼓励在可控范围内共享可复制的方法、模板和案例。</w:t>
      </w:r>
    </w:p>
    <w:p>
      <w:pPr>
        <w:pStyle w:val="Heading1"/>
      </w:pPr>
      <w:r>
        <w:t>第四章  项目全生命周期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场景提出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风险审查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试点验证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成果评审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大赛展示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成果推广</w:t>
            </w:r>
          </w:p>
        </w:tc>
      </w:tr>
      <w:tr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说明痛点与目标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确认数据与权限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记录前后变化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核验价值与风险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展示证据与成果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形成模板与清单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c>
          <w:tcPr>
            <w:tcW w:type="dxa" w:w="14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阶段</w:t>
            </w:r>
          </w:p>
        </w:tc>
        <w:tc>
          <w:tcPr>
            <w:tcW w:type="dxa" w:w="4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准入条件</w:t>
            </w:r>
          </w:p>
        </w:tc>
        <w:tc>
          <w:tcPr>
            <w:tcW w:type="dxa" w:w="37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退出或升级条件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候选场景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来自真实工作需求，描述清晰，有单位负责人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完成访谈后进入项目池；需求不明确则退回补充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重点试点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业务价值明确，数据边界可控，能够测量前后变化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形成有效证据后进入大赛辅导；风险不可控则暂停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大赛项目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具备可演示成果、实际提效证据和人工复核机制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评审后进入成果转化或继续优化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推广成果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具备可复制模板、使用说明、风险边界和责任人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纳入案例库并定期复盘</w:t>
            </w:r>
          </w:p>
        </w:tc>
      </w:tr>
    </w:tbl>
    <w:p>
      <w:pPr>
        <w:spacing w:after="40"/>
      </w:pPr>
    </w:p>
    <w:p>
      <w:pPr>
        <w:pStyle w:val="Heading1"/>
      </w:pPr>
      <w:r>
        <w:t>第五章  培训、交流与知识沉淀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培训采用分层参与制：全员基础认知、单位骨干场景实训、成熟项目团队进阶辅导。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培训内容优先覆盖 AI 办公技巧、业务场景挖掘、自动化进阶、输出甄别、工具选型和安全合规。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协会建立案例库、模板库、常见问题库和培训资料库，重要材料明确权限、版本和更新责任。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鼓励以真实工作材料的脱敏样例开展实操，禁止将敏感、涉密或未经授权的数据上传至外部工具。</w:t>
      </w:r>
    </w:p>
    <w:p>
      <w:pPr>
        <w:pStyle w:val="Heading1"/>
      </w:pPr>
      <w:r>
        <w:t>第六章  AI 大赛与成果转化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第七条  AI 大赛是年度工作成果出口，不以单次技能比拼替代前序培训、场景摸排和试点验证。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5860"/>
      </w:tblGrid>
      <w:tr>
        <w:tc>
          <w:tcPr>
            <w:tcW w:type="dxa" w:w="2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评审维度</w:t>
            </w:r>
          </w:p>
        </w:tc>
        <w:tc>
          <w:tcPr>
            <w:tcW w:type="dxa" w:w="13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权重</w:t>
            </w:r>
          </w:p>
        </w:tc>
        <w:tc>
          <w:tcPr>
            <w:tcW w:type="dxa" w:w="58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业务价值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以真实业务证据和可落地成果为核心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实际提效证据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5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以真实业务证据和可落地成果为核心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可复制性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以真实业务证据和可落地成果为核心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安全合规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5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以真实业务证据和可落地成果为核心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用户体验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以真实业务证据和可落地成果为核心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成果完整度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5%</w:t>
            </w:r>
          </w:p>
        </w:tc>
        <w:tc>
          <w:tcPr>
            <w:tcW w:type="dxa" w:w="5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以真实业务证据和可落地成果为核心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第八条  获奖或成熟项目应形成可复用的操作说明、提示词或流程模板、风险边界、验证指标和复盘记录。</w:t>
      </w:r>
    </w:p>
    <w:p>
      <w:pPr>
        <w:pStyle w:val="Heading1"/>
      </w:pPr>
      <w:r>
        <w:t>第七章  安全、合规与责任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协会项目必须强化数据安全、权限边界、人工复核和输出责任，确保AI应用不替代业务责任主体。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红线</w:t>
            </w:r>
          </w:p>
        </w:tc>
        <w:tc>
          <w:tcPr>
            <w:tcW w:type="dxa" w:w="746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基本要求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数据与保密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不得上传涉密、敏感、个人信息或未经授权的业务数据；确需使用时应采用受控环境并履行审批。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专业判断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 输出不得直接替代投资、设计、工程、成本、财务、法务、人力等专业判断和审批责任。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准确性与追溯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重要结论必须人工复核，保留数据来源、关键提示和修改记录。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知识产权与合规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使用生成内容时应关注著作权、商标、肖像、宣传合规和第三方权益。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工具与账号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公司账号、付费资源和自动化权限应按规定使用，不得私自共享或扩大权限。</w:t>
            </w:r>
          </w:p>
        </w:tc>
      </w:tr>
    </w:tbl>
    <w:p>
      <w:pPr>
        <w:spacing w:after="40"/>
      </w:pPr>
    </w:p>
    <w:p>
      <w:pPr>
        <w:pStyle w:val="Heading1"/>
      </w:pPr>
      <w:r>
        <w:t>第八章  评价、激励与附则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评价以实际提效证据、质量提升、风险可控、可复制性和使用反馈为主要依据。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对形成成熟案例、承担内部分享、推动跨单位复制的成员和团队，可给予适当表彰或资源支持。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年度预算实行审议制，培训、工具资源、大赛、成果转化和系统开发等费用分类测算、按程序审批。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本章程经审议通过后施行，由协会理事会负责解释和修订。</w:t>
      </w: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数据说明：章程方向依据问卷量化结果和公司领导、中层领导匿名意见归纳，不包含个人姓名或完整答卷。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内部审阅资料  |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64" w:lineRule="auto"/>
    </w:pPr>
    <w:r>
      <w:rPr>
        <w:rFonts w:ascii="Arial Unicode MS" w:hAnsi="Arial Unicode MS" w:eastAsia="Arial Unicode MS"/>
        <w:b w:val="0"/>
        <w:color w:val="667085"/>
        <w:sz w:val="17"/>
      </w:rPr>
      <w:t>深圳市安居建业投资运营有限公司  |  AI协会工作体系重构审阅稿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